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CA91" w14:textId="77777777" w:rsidR="0074605F" w:rsidRDefault="0074605F" w:rsidP="00ED250F">
      <w:pPr>
        <w:rPr>
          <w:rFonts w:asciiTheme="minorHAnsi" w:hAnsiTheme="minorHAnsi"/>
          <w:b/>
        </w:rPr>
      </w:pPr>
    </w:p>
    <w:p w14:paraId="2242ED15" w14:textId="51C4EB3D" w:rsidR="0074605F" w:rsidRDefault="002D6239" w:rsidP="002D6239">
      <w:pPr>
        <w:jc w:val="center"/>
        <w:rPr>
          <w:rFonts w:asciiTheme="minorHAnsi" w:hAnsiTheme="minorHAnsi"/>
          <w:b/>
        </w:rPr>
      </w:pPr>
      <w:r w:rsidRPr="003F2F29">
        <w:rPr>
          <w:rFonts w:ascii="Calibri" w:hAnsi="Calibri" w:cs="Calibri"/>
          <w:noProof/>
          <w:color w:val="000000"/>
          <w:sz w:val="22"/>
          <w:szCs w:val="22"/>
        </w:rPr>
        <w:drawing>
          <wp:inline distT="0" distB="0" distL="0" distR="0" wp14:anchorId="15DAE100" wp14:editId="19C3451E">
            <wp:extent cx="1179830" cy="7747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830" cy="774700"/>
                    </a:xfrm>
                    <a:prstGeom prst="rect">
                      <a:avLst/>
                    </a:prstGeom>
                    <a:noFill/>
                    <a:ln>
                      <a:noFill/>
                    </a:ln>
                  </pic:spPr>
                </pic:pic>
              </a:graphicData>
            </a:graphic>
          </wp:inline>
        </w:drawing>
      </w:r>
    </w:p>
    <w:p w14:paraId="0E0B9C0A" w14:textId="77777777" w:rsidR="0074605F" w:rsidRDefault="0074605F" w:rsidP="00ED250F">
      <w:pPr>
        <w:rPr>
          <w:rFonts w:asciiTheme="minorHAnsi" w:hAnsiTheme="minorHAnsi"/>
          <w:b/>
        </w:rPr>
      </w:pPr>
    </w:p>
    <w:p w14:paraId="22CD98A9" w14:textId="48A7374D" w:rsidR="002D6239" w:rsidRDefault="002D6239" w:rsidP="002D6239">
      <w:pPr>
        <w:jc w:val="center"/>
        <w:rPr>
          <w:rFonts w:asciiTheme="minorHAnsi" w:hAnsiTheme="minorHAnsi"/>
          <w:b/>
          <w:sz w:val="32"/>
          <w:szCs w:val="32"/>
        </w:rPr>
      </w:pPr>
      <w:r w:rsidRPr="00E90FB6">
        <w:rPr>
          <w:rFonts w:asciiTheme="minorHAnsi" w:hAnsiTheme="minorHAnsi"/>
          <w:b/>
          <w:sz w:val="32"/>
          <w:szCs w:val="32"/>
        </w:rPr>
        <w:t>Document Retention Policy</w:t>
      </w:r>
    </w:p>
    <w:p w14:paraId="41B521EE" w14:textId="13C0033A" w:rsidR="009455E2" w:rsidRPr="00F81902" w:rsidRDefault="00FF563F" w:rsidP="002D6239">
      <w:pPr>
        <w:jc w:val="center"/>
        <w:rPr>
          <w:rFonts w:asciiTheme="minorHAnsi" w:hAnsiTheme="minorHAnsi"/>
          <w:bCs/>
          <w:i/>
          <w:iCs/>
        </w:rPr>
      </w:pPr>
      <w:r w:rsidRPr="00F81902">
        <w:rPr>
          <w:rFonts w:asciiTheme="minorHAnsi" w:hAnsiTheme="minorHAnsi"/>
          <w:bCs/>
          <w:i/>
          <w:iCs/>
        </w:rPr>
        <w:t xml:space="preserve">Approved: </w:t>
      </w:r>
      <w:r w:rsidR="00326D8F" w:rsidRPr="00F81902">
        <w:rPr>
          <w:rFonts w:asciiTheme="minorHAnsi" w:hAnsiTheme="minorHAnsi"/>
          <w:bCs/>
          <w:i/>
          <w:iCs/>
        </w:rPr>
        <w:t>12/1/23</w:t>
      </w:r>
    </w:p>
    <w:p w14:paraId="672F0F2C" w14:textId="77777777" w:rsidR="001D661B" w:rsidRDefault="001D661B" w:rsidP="002D6239">
      <w:pPr>
        <w:jc w:val="center"/>
        <w:rPr>
          <w:rFonts w:asciiTheme="minorHAnsi" w:hAnsiTheme="minorHAnsi"/>
          <w:bCs/>
          <w:i/>
          <w:iCs/>
          <w:sz w:val="18"/>
          <w:szCs w:val="18"/>
        </w:rPr>
      </w:pPr>
    </w:p>
    <w:p w14:paraId="71183B93" w14:textId="77777777" w:rsidR="001D661B" w:rsidRDefault="001D661B" w:rsidP="00F81902">
      <w:pPr>
        <w:shd w:val="clear" w:color="auto" w:fill="F2F2F2" w:themeFill="background1" w:themeFillShade="F2"/>
        <w:jc w:val="center"/>
        <w:rPr>
          <w:rFonts w:asciiTheme="minorHAnsi" w:hAnsiTheme="minorHAnsi"/>
          <w:bCs/>
          <w:i/>
          <w:iCs/>
          <w:sz w:val="18"/>
          <w:szCs w:val="18"/>
        </w:rPr>
      </w:pPr>
    </w:p>
    <w:p w14:paraId="2D0BCCCE" w14:textId="77777777" w:rsidR="00A610F9" w:rsidRDefault="00A610F9" w:rsidP="002D6239">
      <w:pPr>
        <w:jc w:val="center"/>
        <w:rPr>
          <w:rFonts w:asciiTheme="minorHAnsi" w:hAnsiTheme="minorHAnsi"/>
          <w:bCs/>
          <w:i/>
          <w:iCs/>
          <w:sz w:val="18"/>
          <w:szCs w:val="18"/>
        </w:rPr>
      </w:pPr>
    </w:p>
    <w:p w14:paraId="26479BF9" w14:textId="77777777" w:rsidR="00AE6C02" w:rsidRPr="00AE6C02" w:rsidRDefault="00AE6C02" w:rsidP="00AE6C02">
      <w:pPr>
        <w:rPr>
          <w:rFonts w:ascii="Calibri" w:eastAsia="Calibri" w:hAnsi="Calibri"/>
          <w:b/>
          <w:color w:val="000000"/>
        </w:rPr>
      </w:pPr>
      <w:r w:rsidRPr="00AE6C02">
        <w:rPr>
          <w:rFonts w:ascii="Calibri" w:eastAsia="Calibri" w:hAnsi="Calibri"/>
          <w:b/>
          <w:color w:val="000000"/>
        </w:rPr>
        <w:t>INTRODUCTION</w:t>
      </w:r>
    </w:p>
    <w:p w14:paraId="24376DAF" w14:textId="77777777" w:rsidR="00AE6C02" w:rsidRPr="00AE6C02" w:rsidRDefault="00AE6C02" w:rsidP="00AE6C02">
      <w:pPr>
        <w:rPr>
          <w:rFonts w:ascii="Calibri" w:eastAsia="Calibri" w:hAnsi="Calibri"/>
          <w:b/>
          <w:bCs/>
          <w:color w:val="000000"/>
          <w:sz w:val="22"/>
          <w:szCs w:val="22"/>
        </w:rPr>
      </w:pPr>
      <w:r w:rsidRPr="00AE6C02">
        <w:rPr>
          <w:rFonts w:ascii="Calibri" w:eastAsia="Calibri" w:hAnsi="Calibri"/>
          <w:b/>
          <w:bCs/>
          <w:color w:val="000000"/>
          <w:sz w:val="22"/>
          <w:szCs w:val="22"/>
        </w:rPr>
        <w:t>A Note about Record Keeping and the Law</w:t>
      </w:r>
    </w:p>
    <w:p w14:paraId="7D779E53" w14:textId="77777777" w:rsidR="00AE6C02" w:rsidRPr="00AE6C02" w:rsidRDefault="00AE6C02" w:rsidP="00AE6C02">
      <w:pPr>
        <w:rPr>
          <w:rFonts w:ascii="Calibri" w:eastAsia="Calibri" w:hAnsi="Calibri"/>
          <w:color w:val="000000"/>
          <w:sz w:val="22"/>
          <w:szCs w:val="22"/>
        </w:rPr>
      </w:pPr>
      <w:r w:rsidRPr="00AE6C02">
        <w:rPr>
          <w:rFonts w:ascii="Calibri" w:eastAsia="Calibri" w:hAnsi="Calibri"/>
          <w:bCs/>
          <w:color w:val="000000"/>
          <w:sz w:val="22"/>
          <w:szCs w:val="22"/>
        </w:rPr>
        <w:t xml:space="preserve">Foundation recordkeeping is guided as much by best practices as by laws. The laws specify very few recordkeeping tasks for foundations. </w:t>
      </w:r>
      <w:r w:rsidRPr="00AE6C02">
        <w:rPr>
          <w:rFonts w:ascii="Calibri" w:eastAsia="Calibri" w:hAnsi="Calibri"/>
          <w:color w:val="000000"/>
          <w:sz w:val="22"/>
          <w:szCs w:val="22"/>
        </w:rPr>
        <w:t xml:space="preserve">Private foundations must keep records for federal tax purposes for as long as they may be needed to document evidence of compliance with provisions of the Internal Revenue Code. This means the organization must keep records that support an item of income or deduction on a return until the statute of limitations for that return runs. The statute of limitations has run when the organization can no longer amend its return to claim a credit or refund, and the IRS can no longer assess additional tax. Generally, the statute of limitations runs three years after the date the return is due or filed, whichever is later. An organization may be required to retain records longer for other legal purposes, including state or local tax purposes. For example, an organization generally must retain information on grants for the entire </w:t>
      </w:r>
      <w:proofErr w:type="gramStart"/>
      <w:r w:rsidRPr="00AE6C02">
        <w:rPr>
          <w:rFonts w:ascii="Calibri" w:eastAsia="Calibri" w:hAnsi="Calibri"/>
          <w:color w:val="000000"/>
          <w:sz w:val="22"/>
          <w:szCs w:val="22"/>
        </w:rPr>
        <w:t>period of time</w:t>
      </w:r>
      <w:proofErr w:type="gramEnd"/>
      <w:r w:rsidRPr="00AE6C02">
        <w:rPr>
          <w:rFonts w:ascii="Calibri" w:eastAsia="Calibri" w:hAnsi="Calibri"/>
          <w:color w:val="000000"/>
          <w:sz w:val="22"/>
          <w:szCs w:val="22"/>
        </w:rPr>
        <w:t xml:space="preserve"> they are outstanding.</w:t>
      </w:r>
    </w:p>
    <w:p w14:paraId="7101C87E" w14:textId="77777777" w:rsidR="00AE6C02" w:rsidRPr="00AE6C02" w:rsidRDefault="00AE6C02" w:rsidP="00AE6C02">
      <w:pPr>
        <w:rPr>
          <w:rFonts w:ascii="Calibri" w:eastAsia="Calibri" w:hAnsi="Calibri"/>
          <w:bCs/>
          <w:color w:val="000000"/>
          <w:sz w:val="22"/>
          <w:szCs w:val="22"/>
        </w:rPr>
      </w:pPr>
    </w:p>
    <w:p w14:paraId="6C756ACE" w14:textId="77777777" w:rsidR="00AE6C02" w:rsidRPr="00803256" w:rsidRDefault="00AE6C02" w:rsidP="00AE6C02">
      <w:pPr>
        <w:rPr>
          <w:rFonts w:ascii="Calibri" w:eastAsia="Calibri" w:hAnsi="Calibri"/>
          <w:b/>
          <w:bCs/>
          <w:color w:val="000000"/>
          <w:sz w:val="22"/>
          <w:szCs w:val="22"/>
        </w:rPr>
      </w:pPr>
      <w:r w:rsidRPr="00F81902">
        <w:rPr>
          <w:rFonts w:ascii="Calibri" w:eastAsia="Calibri" w:hAnsi="Calibri"/>
          <w:b/>
          <w:bCs/>
          <w:color w:val="000000"/>
          <w:sz w:val="22"/>
          <w:szCs w:val="22"/>
        </w:rPr>
        <w:t>About “Records”</w:t>
      </w:r>
    </w:p>
    <w:p w14:paraId="6F8F435D" w14:textId="77777777" w:rsidR="00AE6C02" w:rsidRPr="00803256" w:rsidRDefault="00AE6C02" w:rsidP="00AE6C02">
      <w:pPr>
        <w:rPr>
          <w:rFonts w:ascii="Calibri" w:eastAsia="Calibri" w:hAnsi="Calibri"/>
          <w:color w:val="404040"/>
          <w:sz w:val="22"/>
          <w:szCs w:val="22"/>
        </w:rPr>
      </w:pPr>
      <w:r w:rsidRPr="00F81902">
        <w:rPr>
          <w:rFonts w:ascii="Calibri" w:eastAsia="Calibri" w:hAnsi="Calibri"/>
          <w:color w:val="000000"/>
          <w:sz w:val="22"/>
          <w:szCs w:val="22"/>
        </w:rPr>
        <w:t>“Records” mean information presented in any medium, including, but not limited to, paper or electronic documents and files, written communications, emails, scanned images, and spreadsheets. Almost all business documents are acceptable by the IRS in digital form so keeping an electronic copy suffices. The only caveat to this is that Grey, Hunter, Stenn recommend keeping originals of major agreements or charter-type documents, such as: articles of incorporation, bylaws, charters, etc</w:t>
      </w:r>
      <w:r w:rsidRPr="00F81902">
        <w:rPr>
          <w:rFonts w:ascii="Calibri" w:eastAsia="Calibri" w:hAnsi="Calibri"/>
          <w:color w:val="404040"/>
          <w:sz w:val="22"/>
          <w:szCs w:val="22"/>
        </w:rPr>
        <w:t xml:space="preserve">. </w:t>
      </w:r>
    </w:p>
    <w:p w14:paraId="66184197" w14:textId="77777777" w:rsidR="00AE6C02" w:rsidRPr="00AE6C02" w:rsidRDefault="00AE6C02" w:rsidP="00AE6C02">
      <w:pPr>
        <w:rPr>
          <w:rFonts w:ascii="Calibri" w:eastAsia="Calibri" w:hAnsi="Calibri"/>
          <w:color w:val="404040"/>
          <w:sz w:val="22"/>
          <w:szCs w:val="22"/>
        </w:rPr>
      </w:pPr>
    </w:p>
    <w:p w14:paraId="4B9932F8" w14:textId="77777777" w:rsidR="00AE6C02" w:rsidRPr="00AE6C02" w:rsidRDefault="00AE6C02" w:rsidP="00AE6C02">
      <w:pPr>
        <w:keepNext/>
        <w:outlineLvl w:val="3"/>
        <w:rPr>
          <w:rFonts w:ascii="Calibri" w:hAnsi="Calibri" w:cs="Calibri"/>
          <w:b/>
          <w:bCs/>
        </w:rPr>
      </w:pPr>
      <w:r w:rsidRPr="00AE6C02">
        <w:rPr>
          <w:rFonts w:ascii="Calibri" w:hAnsi="Calibri" w:cs="Calibri"/>
          <w:b/>
          <w:bCs/>
        </w:rPr>
        <w:t>DOCUMENT RETENTION POLICY</w:t>
      </w:r>
    </w:p>
    <w:p w14:paraId="4F452A43" w14:textId="77777777" w:rsidR="00AE6C02" w:rsidRPr="00AE6C02" w:rsidRDefault="00AE6C02" w:rsidP="00AE6C02">
      <w:pPr>
        <w:keepNext/>
        <w:outlineLvl w:val="3"/>
        <w:rPr>
          <w:rFonts w:ascii="Calibri" w:hAnsi="Calibri" w:cs="Calibri"/>
          <w:b/>
          <w:bCs/>
          <w:sz w:val="22"/>
        </w:rPr>
      </w:pPr>
      <w:r w:rsidRPr="00AE6C02">
        <w:rPr>
          <w:rFonts w:ascii="Calibri" w:hAnsi="Calibri" w:cs="Calibri"/>
          <w:b/>
          <w:bCs/>
          <w:sz w:val="22"/>
        </w:rPr>
        <w:t>Purpose</w:t>
      </w:r>
    </w:p>
    <w:p w14:paraId="2B7321D6" w14:textId="77777777" w:rsidR="00AE6C02" w:rsidRPr="00AE6C02" w:rsidRDefault="00AE6C02" w:rsidP="00AE6C02">
      <w:pPr>
        <w:rPr>
          <w:rFonts w:ascii="Calibri" w:eastAsia="Calibri" w:hAnsi="Calibri"/>
          <w:bCs/>
          <w:sz w:val="22"/>
          <w:szCs w:val="22"/>
        </w:rPr>
      </w:pPr>
      <w:r w:rsidRPr="00AE6C02">
        <w:rPr>
          <w:rFonts w:ascii="Calibri" w:eastAsia="Calibri" w:hAnsi="Calibri"/>
          <w:bCs/>
          <w:sz w:val="22"/>
          <w:szCs w:val="22"/>
        </w:rPr>
        <w:t>The purpose of a Document Retention Policy is to maintain, preserve and manage records that are needed to comply with regulatory requirements, to meet management and operational needs, and to protect the interests of the Foundation and its Directors, Officers, and Employees, as required by law and/or prudent business practices.</w:t>
      </w:r>
    </w:p>
    <w:p w14:paraId="7AE5CBE1" w14:textId="77777777" w:rsidR="00AE6C02" w:rsidRPr="00AE6C02" w:rsidRDefault="00AE6C02" w:rsidP="00AE6C02">
      <w:pPr>
        <w:rPr>
          <w:rFonts w:ascii="Calibri" w:eastAsia="Calibri" w:hAnsi="Calibri"/>
          <w:b/>
          <w:bCs/>
          <w:sz w:val="22"/>
          <w:szCs w:val="22"/>
        </w:rPr>
      </w:pPr>
    </w:p>
    <w:p w14:paraId="5CCB7F55" w14:textId="77777777" w:rsidR="00AE6C02" w:rsidRPr="00AE6C02" w:rsidRDefault="00AE6C02" w:rsidP="00AE6C02">
      <w:pPr>
        <w:rPr>
          <w:rFonts w:ascii="Calibri" w:eastAsia="Calibri" w:hAnsi="Calibri"/>
          <w:b/>
          <w:bCs/>
          <w:sz w:val="22"/>
          <w:szCs w:val="22"/>
        </w:rPr>
      </w:pPr>
      <w:r w:rsidRPr="00AE6C02">
        <w:rPr>
          <w:rFonts w:ascii="Calibri" w:eastAsia="Calibri" w:hAnsi="Calibri"/>
          <w:b/>
          <w:bCs/>
          <w:sz w:val="22"/>
          <w:szCs w:val="22"/>
        </w:rPr>
        <w:t xml:space="preserve">General Retention Obligations </w:t>
      </w:r>
    </w:p>
    <w:p w14:paraId="05E0BED1" w14:textId="77777777" w:rsidR="00AE6C02" w:rsidRPr="00AE6C02" w:rsidRDefault="00AE6C02" w:rsidP="00AE6C02">
      <w:pPr>
        <w:rPr>
          <w:rFonts w:ascii="Calibri" w:eastAsia="Calibri" w:hAnsi="Calibri"/>
          <w:sz w:val="22"/>
          <w:szCs w:val="22"/>
        </w:rPr>
      </w:pPr>
      <w:r w:rsidRPr="00AE6C02">
        <w:rPr>
          <w:rFonts w:ascii="Calibri" w:eastAsia="Calibri" w:hAnsi="Calibri"/>
          <w:bCs/>
          <w:sz w:val="22"/>
          <w:szCs w:val="22"/>
        </w:rPr>
        <w:t>Directors, Officers, and Employees must retain the Records listed in the record Retention Schedules for the periods of time set forth on that schedule.</w:t>
      </w:r>
      <w:r w:rsidRPr="00AE6C02">
        <w:rPr>
          <w:rFonts w:ascii="Calibri" w:eastAsia="Calibri" w:hAnsi="Calibri"/>
          <w:sz w:val="22"/>
          <w:szCs w:val="22"/>
        </w:rPr>
        <w:tab/>
      </w:r>
    </w:p>
    <w:p w14:paraId="1795E9FC" w14:textId="77777777" w:rsidR="00AE6C02" w:rsidRPr="00AE6C02" w:rsidRDefault="00AE6C02" w:rsidP="00AE6C02">
      <w:pPr>
        <w:rPr>
          <w:rFonts w:ascii="Calibri" w:eastAsia="Calibri" w:hAnsi="Calibri"/>
          <w:b/>
          <w:bCs/>
          <w:sz w:val="22"/>
          <w:szCs w:val="22"/>
        </w:rPr>
      </w:pPr>
    </w:p>
    <w:p w14:paraId="0A1E86BF" w14:textId="77777777" w:rsidR="00085F49" w:rsidRDefault="00AE6C02" w:rsidP="00AE6C02">
      <w:pPr>
        <w:rPr>
          <w:rFonts w:ascii="Calibri" w:eastAsia="Calibri" w:hAnsi="Calibri"/>
          <w:b/>
          <w:bCs/>
          <w:sz w:val="22"/>
          <w:szCs w:val="22"/>
        </w:rPr>
      </w:pPr>
      <w:r w:rsidRPr="00AE6C02">
        <w:rPr>
          <w:rFonts w:ascii="Calibri" w:eastAsia="Calibri" w:hAnsi="Calibri"/>
          <w:b/>
          <w:bCs/>
          <w:sz w:val="22"/>
          <w:szCs w:val="22"/>
        </w:rPr>
        <w:t>Administration</w:t>
      </w:r>
      <w:r w:rsidR="008465DF">
        <w:rPr>
          <w:rFonts w:ascii="Calibri" w:eastAsia="Calibri" w:hAnsi="Calibri"/>
          <w:b/>
          <w:bCs/>
          <w:sz w:val="22"/>
          <w:szCs w:val="22"/>
        </w:rPr>
        <w:t xml:space="preserve"> </w:t>
      </w:r>
    </w:p>
    <w:p w14:paraId="0504C9FE" w14:textId="484E97B3" w:rsidR="00AE6C02" w:rsidRPr="00F81902" w:rsidRDefault="00AE6C02" w:rsidP="00AE6C02">
      <w:pPr>
        <w:rPr>
          <w:rFonts w:ascii="Calibri" w:eastAsia="Calibri" w:hAnsi="Calibri"/>
          <w:b/>
          <w:bCs/>
          <w:sz w:val="22"/>
          <w:szCs w:val="22"/>
        </w:rPr>
      </w:pPr>
      <w:r w:rsidRPr="00AE6C02">
        <w:rPr>
          <w:rFonts w:ascii="Calibri" w:eastAsia="Calibri" w:hAnsi="Calibri"/>
          <w:bCs/>
          <w:sz w:val="22"/>
          <w:szCs w:val="22"/>
        </w:rPr>
        <w:t>The Foundation’s President shall oversee the administration of this Policy. The President may delegate to one or more employees the authority to carry out the President’s responsibilities under this paragraph but shall retain the ultimate responsibility for the administration of this Policy.</w:t>
      </w:r>
    </w:p>
    <w:p w14:paraId="23C5B5DF" w14:textId="77777777" w:rsidR="00AE6C02" w:rsidRPr="00AE6C02" w:rsidRDefault="00AE6C02" w:rsidP="00AE6C02">
      <w:pPr>
        <w:rPr>
          <w:rFonts w:ascii="Calibri" w:eastAsia="Calibri" w:hAnsi="Calibri"/>
          <w:bCs/>
          <w:sz w:val="22"/>
          <w:szCs w:val="22"/>
        </w:rPr>
      </w:pPr>
    </w:p>
    <w:p w14:paraId="72DEE002" w14:textId="424BE5A2" w:rsidR="00AE6C02" w:rsidRPr="00AE6C02" w:rsidRDefault="00AE6C02" w:rsidP="00AE6C02">
      <w:pPr>
        <w:spacing w:after="200" w:line="276" w:lineRule="auto"/>
        <w:rPr>
          <w:rFonts w:ascii="Calibri" w:eastAsia="Calibri" w:hAnsi="Calibri"/>
          <w:b/>
          <w:bCs/>
          <w:i/>
          <w:iCs/>
          <w:sz w:val="22"/>
          <w:szCs w:val="22"/>
        </w:rPr>
      </w:pPr>
      <w:r w:rsidRPr="00AE6C02">
        <w:rPr>
          <w:rFonts w:ascii="Calibri" w:eastAsia="Calibri" w:hAnsi="Calibri"/>
          <w:b/>
          <w:bCs/>
          <w:sz w:val="22"/>
          <w:szCs w:val="22"/>
        </w:rPr>
        <w:lastRenderedPageBreak/>
        <w:t>Record Retention Schedule</w:t>
      </w:r>
      <w:r w:rsidRPr="00AE6C02">
        <w:rPr>
          <w:rFonts w:ascii="Calibri" w:eastAsia="Calibri" w:hAnsi="Calibri"/>
          <w:sz w:val="22"/>
          <w:szCs w:val="22"/>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DD7CBD" w:rsidRPr="00AE6C02" w14:paraId="45013454" w14:textId="77777777" w:rsidTr="00BA7426">
        <w:trPr>
          <w:trHeight w:val="118"/>
        </w:trPr>
        <w:tc>
          <w:tcPr>
            <w:tcW w:w="9445" w:type="dxa"/>
            <w:gridSpan w:val="2"/>
            <w:shd w:val="clear" w:color="auto" w:fill="F2F2F2"/>
          </w:tcPr>
          <w:p w14:paraId="52C5588C" w14:textId="7A1375C8" w:rsidR="00DD7CBD" w:rsidRPr="00AE6C02" w:rsidRDefault="00DD7CBD" w:rsidP="00AE6C02">
            <w:pPr>
              <w:autoSpaceDE w:val="0"/>
              <w:autoSpaceDN w:val="0"/>
              <w:adjustRightInd w:val="0"/>
              <w:spacing w:after="200" w:line="201" w:lineRule="atLeast"/>
              <w:jc w:val="center"/>
              <w:rPr>
                <w:rFonts w:ascii="Calibri" w:eastAsia="Calibri" w:hAnsi="Calibri" w:cs="Gotham Bold"/>
                <w:b/>
                <w:bCs/>
                <w:color w:val="000000"/>
                <w:sz w:val="32"/>
                <w:szCs w:val="32"/>
              </w:rPr>
            </w:pPr>
            <w:r w:rsidRPr="00AE6C02">
              <w:rPr>
                <w:rFonts w:ascii="Calibri" w:eastAsia="Calibri" w:hAnsi="Calibri" w:cs="Gotham Bold"/>
                <w:b/>
                <w:bCs/>
                <w:color w:val="000000"/>
                <w:sz w:val="32"/>
                <w:szCs w:val="32"/>
              </w:rPr>
              <w:t>Permanent Records</w:t>
            </w:r>
          </w:p>
        </w:tc>
      </w:tr>
      <w:tr w:rsidR="00DD7CBD" w:rsidRPr="00AE6C02" w14:paraId="34D70B1B" w14:textId="77777777" w:rsidTr="00F81902">
        <w:trPr>
          <w:trHeight w:val="118"/>
        </w:trPr>
        <w:tc>
          <w:tcPr>
            <w:tcW w:w="4585" w:type="dxa"/>
            <w:shd w:val="clear" w:color="auto" w:fill="D9D9D9"/>
          </w:tcPr>
          <w:p w14:paraId="5A415268" w14:textId="77777777" w:rsidR="00DD7CBD" w:rsidRPr="00AE6C02" w:rsidRDefault="00DD7CBD" w:rsidP="00AE6C02">
            <w:pPr>
              <w:rPr>
                <w:rFonts w:ascii="Calibri" w:eastAsia="Calibri" w:hAnsi="Calibri" w:cs="Calibri"/>
                <w:b/>
                <w:bCs/>
                <w:sz w:val="22"/>
                <w:szCs w:val="22"/>
              </w:rPr>
            </w:pPr>
            <w:r w:rsidRPr="00AE6C02">
              <w:rPr>
                <w:rFonts w:ascii="Calibri" w:eastAsia="Calibri" w:hAnsi="Calibri" w:cs="Calibri"/>
                <w:b/>
                <w:bCs/>
                <w:sz w:val="22"/>
                <w:szCs w:val="22"/>
              </w:rPr>
              <w:t>Description of record(s)</w:t>
            </w:r>
          </w:p>
        </w:tc>
        <w:tc>
          <w:tcPr>
            <w:tcW w:w="4860" w:type="dxa"/>
            <w:shd w:val="clear" w:color="auto" w:fill="D9D9D9"/>
          </w:tcPr>
          <w:p w14:paraId="17033C19" w14:textId="2C3718CF" w:rsidR="00DD7CBD" w:rsidRPr="00AE6C02" w:rsidRDefault="00DD7CBD" w:rsidP="00AE6C02">
            <w:pPr>
              <w:rPr>
                <w:rFonts w:ascii="Calibri" w:eastAsia="Calibri" w:hAnsi="Calibri" w:cs="Calibri"/>
                <w:b/>
                <w:bCs/>
                <w:sz w:val="22"/>
                <w:szCs w:val="22"/>
              </w:rPr>
            </w:pPr>
            <w:r w:rsidRPr="00AE6C02">
              <w:rPr>
                <w:rFonts w:ascii="Calibri" w:eastAsia="Calibri" w:hAnsi="Calibri" w:cs="Calibri"/>
                <w:b/>
                <w:bCs/>
                <w:sz w:val="22"/>
                <w:szCs w:val="22"/>
              </w:rPr>
              <w:t>Location of Record</w:t>
            </w:r>
          </w:p>
        </w:tc>
      </w:tr>
      <w:tr w:rsidR="00DD7CBD" w:rsidRPr="00AE6C02" w14:paraId="3CC5D185" w14:textId="77777777" w:rsidTr="00F81902">
        <w:trPr>
          <w:trHeight w:val="437"/>
        </w:trPr>
        <w:tc>
          <w:tcPr>
            <w:tcW w:w="4585" w:type="dxa"/>
          </w:tcPr>
          <w:p w14:paraId="2D24EA8C"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Articles of incorporation</w:t>
            </w:r>
          </w:p>
        </w:tc>
        <w:tc>
          <w:tcPr>
            <w:tcW w:w="4860" w:type="dxa"/>
          </w:tcPr>
          <w:p w14:paraId="7C46D56C"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 Point</w:t>
            </w:r>
          </w:p>
          <w:p w14:paraId="447684E6"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Hard Copy: Brown, Hay, Stephens (BHS)</w:t>
            </w:r>
          </w:p>
        </w:tc>
      </w:tr>
      <w:tr w:rsidR="00DD7CBD" w:rsidRPr="00AE6C02" w14:paraId="09E35098" w14:textId="77777777" w:rsidTr="00F81902">
        <w:trPr>
          <w:trHeight w:val="437"/>
        </w:trPr>
        <w:tc>
          <w:tcPr>
            <w:tcW w:w="4585" w:type="dxa"/>
          </w:tcPr>
          <w:p w14:paraId="0C03B875"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IRS Form 1023 to file for tax-exempt and/or charitable status</w:t>
            </w:r>
          </w:p>
        </w:tc>
        <w:tc>
          <w:tcPr>
            <w:tcW w:w="4860" w:type="dxa"/>
          </w:tcPr>
          <w:p w14:paraId="05C80B84"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SharePoint</w:t>
            </w:r>
          </w:p>
          <w:p w14:paraId="666E8478" w14:textId="77777777" w:rsidR="00DD7CBD" w:rsidRPr="00AE6C02" w:rsidRDefault="00DD7CBD" w:rsidP="00AE6C02">
            <w:pPr>
              <w:rPr>
                <w:rFonts w:ascii="Calibri" w:eastAsia="Calibri" w:hAnsi="Calibri" w:cs="Calibri"/>
                <w:i/>
                <w:iCs/>
                <w:sz w:val="22"/>
                <w:szCs w:val="22"/>
              </w:rPr>
            </w:pPr>
            <w:r w:rsidRPr="00AE6C02">
              <w:rPr>
                <w:rFonts w:ascii="Calibri" w:eastAsia="Calibri" w:hAnsi="Calibri" w:cs="Calibri"/>
                <w:sz w:val="22"/>
                <w:szCs w:val="22"/>
              </w:rPr>
              <w:t>Hard Copy: BHS</w:t>
            </w:r>
          </w:p>
        </w:tc>
      </w:tr>
      <w:tr w:rsidR="00DD7CBD" w:rsidRPr="00AE6C02" w14:paraId="6643237A" w14:textId="77777777" w:rsidTr="00F81902">
        <w:trPr>
          <w:trHeight w:val="584"/>
        </w:trPr>
        <w:tc>
          <w:tcPr>
            <w:tcW w:w="4585" w:type="dxa"/>
          </w:tcPr>
          <w:p w14:paraId="70978AEB"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IRS Letter of Determination granting tax-exempt and charitable status</w:t>
            </w:r>
          </w:p>
        </w:tc>
        <w:tc>
          <w:tcPr>
            <w:tcW w:w="4860" w:type="dxa"/>
          </w:tcPr>
          <w:p w14:paraId="00B93FF4"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SharePoint</w:t>
            </w:r>
          </w:p>
          <w:p w14:paraId="5DD71A61" w14:textId="77777777" w:rsidR="00DD7CBD" w:rsidRPr="00AE6C02" w:rsidRDefault="00DD7CBD" w:rsidP="00AE6C02">
            <w:pPr>
              <w:rPr>
                <w:rFonts w:ascii="Calibri" w:eastAsia="Calibri" w:hAnsi="Calibri" w:cs="Calibri"/>
                <w:i/>
                <w:iCs/>
                <w:sz w:val="22"/>
                <w:szCs w:val="22"/>
              </w:rPr>
            </w:pPr>
            <w:r w:rsidRPr="00AE6C02">
              <w:rPr>
                <w:rFonts w:ascii="Calibri" w:eastAsia="Calibri" w:hAnsi="Calibri" w:cs="Calibri"/>
                <w:sz w:val="22"/>
                <w:szCs w:val="22"/>
              </w:rPr>
              <w:t>Hard Copy: BHS</w:t>
            </w:r>
          </w:p>
        </w:tc>
      </w:tr>
      <w:tr w:rsidR="00DD7CBD" w:rsidRPr="00AE6C02" w14:paraId="3B5DCCA0" w14:textId="77777777" w:rsidTr="00F81902">
        <w:trPr>
          <w:trHeight w:val="437"/>
        </w:trPr>
        <w:tc>
          <w:tcPr>
            <w:tcW w:w="4585" w:type="dxa"/>
          </w:tcPr>
          <w:p w14:paraId="38B4F8EE" w14:textId="77777777" w:rsidR="00DD7CBD" w:rsidRPr="00AE6C02" w:rsidRDefault="00DD7CBD" w:rsidP="00AE6C02">
            <w:pPr>
              <w:rPr>
                <w:rFonts w:ascii="Calibri" w:eastAsia="Calibri" w:hAnsi="Calibri" w:cs="Calibri"/>
                <w:sz w:val="22"/>
                <w:szCs w:val="22"/>
              </w:rPr>
            </w:pPr>
            <w:proofErr w:type="spellStart"/>
            <w:r w:rsidRPr="00AE6C02">
              <w:rPr>
                <w:rFonts w:ascii="Calibri" w:eastAsia="Calibri" w:hAnsi="Calibri" w:cs="Calibri"/>
                <w:sz w:val="22"/>
                <w:szCs w:val="22"/>
              </w:rPr>
              <w:t>ByLaws</w:t>
            </w:r>
            <w:proofErr w:type="spellEnd"/>
          </w:p>
        </w:tc>
        <w:tc>
          <w:tcPr>
            <w:tcW w:w="4860" w:type="dxa"/>
          </w:tcPr>
          <w:p w14:paraId="11BE94BC"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SharePoint</w:t>
            </w:r>
          </w:p>
          <w:p w14:paraId="575CB4B5" w14:textId="77777777" w:rsidR="00DD7CBD" w:rsidRPr="00AE6C02" w:rsidRDefault="00DD7CBD" w:rsidP="00AE6C02">
            <w:pPr>
              <w:rPr>
                <w:rFonts w:ascii="Calibri" w:eastAsia="Calibri" w:hAnsi="Calibri" w:cs="Calibri"/>
                <w:i/>
                <w:iCs/>
                <w:sz w:val="22"/>
                <w:szCs w:val="22"/>
              </w:rPr>
            </w:pPr>
            <w:r w:rsidRPr="00AE6C02">
              <w:rPr>
                <w:rFonts w:ascii="Calibri" w:eastAsia="Calibri" w:hAnsi="Calibri" w:cs="Calibri"/>
                <w:sz w:val="22"/>
                <w:szCs w:val="22"/>
              </w:rPr>
              <w:t>Hard Copy: BHS</w:t>
            </w:r>
          </w:p>
        </w:tc>
      </w:tr>
      <w:tr w:rsidR="00DD7CBD" w:rsidRPr="00AE6C02" w14:paraId="7555B267" w14:textId="77777777" w:rsidTr="00F81902">
        <w:trPr>
          <w:trHeight w:val="521"/>
        </w:trPr>
        <w:tc>
          <w:tcPr>
            <w:tcW w:w="4585" w:type="dxa"/>
          </w:tcPr>
          <w:p w14:paraId="187FEC4C"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Board meeting minutes</w:t>
            </w:r>
          </w:p>
        </w:tc>
        <w:tc>
          <w:tcPr>
            <w:tcW w:w="4860" w:type="dxa"/>
          </w:tcPr>
          <w:p w14:paraId="7E98CEBC"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SharePoint</w:t>
            </w:r>
          </w:p>
          <w:p w14:paraId="47400C2A"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Hard Copy: BHS</w:t>
            </w:r>
          </w:p>
        </w:tc>
      </w:tr>
      <w:tr w:rsidR="00DD7CBD" w:rsidRPr="00AE6C02" w14:paraId="4F9A814A" w14:textId="77777777" w:rsidTr="00F81902">
        <w:trPr>
          <w:trHeight w:val="602"/>
        </w:trPr>
        <w:tc>
          <w:tcPr>
            <w:tcW w:w="4585" w:type="dxa"/>
          </w:tcPr>
          <w:p w14:paraId="73AA1F9D"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TFF Annual Reports</w:t>
            </w:r>
          </w:p>
        </w:tc>
        <w:tc>
          <w:tcPr>
            <w:tcW w:w="4860" w:type="dxa"/>
          </w:tcPr>
          <w:p w14:paraId="608BB029" w14:textId="77777777" w:rsidR="00DD7CBD" w:rsidRPr="00AE6C02" w:rsidRDefault="00DD7CBD" w:rsidP="00AE6C02">
            <w:pPr>
              <w:rPr>
                <w:rFonts w:ascii="Calibri" w:eastAsia="Calibri" w:hAnsi="Calibri" w:cs="Calibri"/>
                <w:iCs/>
                <w:sz w:val="22"/>
                <w:szCs w:val="22"/>
              </w:rPr>
            </w:pPr>
            <w:r w:rsidRPr="00AE6C02">
              <w:rPr>
                <w:rFonts w:ascii="Calibri" w:eastAsia="Calibri" w:hAnsi="Calibri" w:cs="Calibri"/>
                <w:iCs/>
                <w:sz w:val="22"/>
                <w:szCs w:val="22"/>
              </w:rPr>
              <w:t>Electronic: DFH Legal Drive on SharePoint</w:t>
            </w:r>
          </w:p>
          <w:p w14:paraId="69F204E9" w14:textId="77777777" w:rsidR="00DD7CBD" w:rsidRPr="00AE6C02" w:rsidRDefault="00DD7CBD" w:rsidP="00AE6C02">
            <w:pPr>
              <w:rPr>
                <w:rFonts w:ascii="Calibri" w:eastAsia="Calibri" w:hAnsi="Calibri" w:cs="Calibri"/>
                <w:iCs/>
                <w:sz w:val="22"/>
                <w:szCs w:val="22"/>
              </w:rPr>
            </w:pPr>
            <w:r w:rsidRPr="00AE6C02">
              <w:rPr>
                <w:rFonts w:ascii="Calibri" w:eastAsia="Calibri" w:hAnsi="Calibri" w:cs="Calibri"/>
                <w:iCs/>
                <w:sz w:val="22"/>
                <w:szCs w:val="22"/>
              </w:rPr>
              <w:t>Paper:</w:t>
            </w:r>
            <w:r w:rsidRPr="00AE6C02">
              <w:rPr>
                <w:rFonts w:ascii="Calibri" w:eastAsia="Calibri" w:hAnsi="Calibri" w:cs="Calibri"/>
                <w:i/>
                <w:sz w:val="22"/>
                <w:szCs w:val="22"/>
              </w:rPr>
              <w:t xml:space="preserve"> </w:t>
            </w:r>
            <w:r w:rsidRPr="00AE6C02">
              <w:rPr>
                <w:rFonts w:ascii="Calibri" w:eastAsia="Calibri" w:hAnsi="Calibri" w:cs="Calibri"/>
                <w:iCs/>
                <w:sz w:val="22"/>
                <w:szCs w:val="22"/>
              </w:rPr>
              <w:t>Dot Archives</w:t>
            </w:r>
          </w:p>
        </w:tc>
      </w:tr>
      <w:tr w:rsidR="00DD7CBD" w:rsidRPr="00AE6C02" w14:paraId="779A77CE" w14:textId="77777777" w:rsidTr="00F81902">
        <w:trPr>
          <w:trHeight w:val="323"/>
        </w:trPr>
        <w:tc>
          <w:tcPr>
            <w:tcW w:w="4585" w:type="dxa"/>
          </w:tcPr>
          <w:p w14:paraId="755EDF67"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Current Board Policies</w:t>
            </w:r>
          </w:p>
        </w:tc>
        <w:tc>
          <w:tcPr>
            <w:tcW w:w="4860" w:type="dxa"/>
          </w:tcPr>
          <w:p w14:paraId="53AD655B" w14:textId="598346B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TFF Shared Drive (</w:t>
            </w:r>
            <w:r w:rsidR="00D25C2C">
              <w:rPr>
                <w:rFonts w:ascii="Calibri" w:eastAsia="Calibri" w:hAnsi="Calibri" w:cs="Calibri"/>
                <w:sz w:val="22"/>
                <w:szCs w:val="22"/>
              </w:rPr>
              <w:t xml:space="preserve">Dot </w:t>
            </w:r>
            <w:r w:rsidRPr="00AE6C02">
              <w:rPr>
                <w:rFonts w:ascii="Calibri" w:eastAsia="Calibri" w:hAnsi="Calibri" w:cs="Calibri"/>
                <w:sz w:val="22"/>
                <w:szCs w:val="22"/>
              </w:rPr>
              <w:t>One Drive)</w:t>
            </w:r>
          </w:p>
        </w:tc>
      </w:tr>
      <w:tr w:rsidR="00DD7CBD" w:rsidRPr="00AE6C02" w14:paraId="6B3C5E02" w14:textId="77777777" w:rsidTr="00F81902">
        <w:trPr>
          <w:trHeight w:val="368"/>
        </w:trPr>
        <w:tc>
          <w:tcPr>
            <w:tcW w:w="4585" w:type="dxa"/>
          </w:tcPr>
          <w:p w14:paraId="7BF31098"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Board Resolutions</w:t>
            </w:r>
          </w:p>
        </w:tc>
        <w:tc>
          <w:tcPr>
            <w:tcW w:w="4860" w:type="dxa"/>
          </w:tcPr>
          <w:p w14:paraId="36D093AD"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SharePoint</w:t>
            </w:r>
          </w:p>
        </w:tc>
      </w:tr>
      <w:tr w:rsidR="00DD7CBD" w:rsidRPr="00AE6C02" w14:paraId="68F4B6DD" w14:textId="77777777" w:rsidTr="00F81902">
        <w:trPr>
          <w:trHeight w:val="359"/>
        </w:trPr>
        <w:tc>
          <w:tcPr>
            <w:tcW w:w="4585" w:type="dxa"/>
          </w:tcPr>
          <w:p w14:paraId="05EF5077" w14:textId="77777777" w:rsidR="00DD7CBD" w:rsidRPr="00AE6C02" w:rsidRDefault="00DD7CBD" w:rsidP="00AE6C02">
            <w:pPr>
              <w:rPr>
                <w:rFonts w:ascii="Calibri" w:eastAsia="Calibri" w:hAnsi="Calibri" w:cs="Calibri"/>
                <w:sz w:val="22"/>
                <w:szCs w:val="22"/>
              </w:rPr>
            </w:pPr>
            <w:r w:rsidRPr="00AE6C02">
              <w:rPr>
                <w:rFonts w:ascii="Calibri" w:eastAsia="Calibri" w:hAnsi="Calibri" w:cs="Gotham Book"/>
                <w:color w:val="000000"/>
                <w:sz w:val="22"/>
                <w:szCs w:val="22"/>
              </w:rPr>
              <w:t>Annual tax returns (Form 990-PF)</w:t>
            </w:r>
          </w:p>
        </w:tc>
        <w:tc>
          <w:tcPr>
            <w:tcW w:w="4860" w:type="dxa"/>
          </w:tcPr>
          <w:p w14:paraId="48EEA1B3"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SharePoint</w:t>
            </w:r>
          </w:p>
        </w:tc>
      </w:tr>
      <w:tr w:rsidR="00DD7CBD" w:rsidRPr="00AE6C02" w14:paraId="6AF61474" w14:textId="77777777" w:rsidTr="00F81902">
        <w:trPr>
          <w:trHeight w:val="350"/>
        </w:trPr>
        <w:tc>
          <w:tcPr>
            <w:tcW w:w="4585" w:type="dxa"/>
          </w:tcPr>
          <w:p w14:paraId="0F183778" w14:textId="77777777" w:rsidR="00DD7CBD" w:rsidRPr="00AE6C02" w:rsidRDefault="00DD7CBD" w:rsidP="00AE6C02">
            <w:pPr>
              <w:rPr>
                <w:rFonts w:ascii="Calibri" w:eastAsia="Calibri" w:hAnsi="Calibri" w:cs="Calibri"/>
                <w:sz w:val="22"/>
                <w:szCs w:val="22"/>
              </w:rPr>
            </w:pPr>
            <w:r w:rsidRPr="00AE6C02">
              <w:rPr>
                <w:rFonts w:ascii="Calibri" w:eastAsia="Calibri" w:hAnsi="Calibri" w:cs="Gotham Book"/>
                <w:color w:val="000000"/>
                <w:sz w:val="22"/>
                <w:szCs w:val="22"/>
              </w:rPr>
              <w:t>IL Attorney General Reports</w:t>
            </w:r>
          </w:p>
        </w:tc>
        <w:tc>
          <w:tcPr>
            <w:tcW w:w="4860" w:type="dxa"/>
          </w:tcPr>
          <w:p w14:paraId="2F14C1C0"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SharePoint</w:t>
            </w:r>
          </w:p>
        </w:tc>
      </w:tr>
      <w:tr w:rsidR="00DD7CBD" w:rsidRPr="00AE6C02" w14:paraId="300054AF" w14:textId="77777777" w:rsidTr="00F81902">
        <w:trPr>
          <w:trHeight w:val="350"/>
        </w:trPr>
        <w:tc>
          <w:tcPr>
            <w:tcW w:w="4585" w:type="dxa"/>
          </w:tcPr>
          <w:p w14:paraId="7D7B9E06"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Sales Tax Exemption documents</w:t>
            </w:r>
          </w:p>
        </w:tc>
        <w:tc>
          <w:tcPr>
            <w:tcW w:w="4860" w:type="dxa"/>
          </w:tcPr>
          <w:p w14:paraId="0A6A3E00"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SharePoint</w:t>
            </w:r>
          </w:p>
        </w:tc>
      </w:tr>
      <w:tr w:rsidR="00DD7CBD" w:rsidRPr="00AE6C02" w14:paraId="148DBE5E" w14:textId="77777777" w:rsidTr="00F81902">
        <w:trPr>
          <w:trHeight w:val="350"/>
        </w:trPr>
        <w:tc>
          <w:tcPr>
            <w:tcW w:w="4585" w:type="dxa"/>
          </w:tcPr>
          <w:p w14:paraId="17BD8C7A"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 xml:space="preserve">Audits </w:t>
            </w:r>
          </w:p>
        </w:tc>
        <w:tc>
          <w:tcPr>
            <w:tcW w:w="4860" w:type="dxa"/>
          </w:tcPr>
          <w:p w14:paraId="5DC2E20F"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Electronic: DFH Legal Drive on SharePoint</w:t>
            </w:r>
          </w:p>
        </w:tc>
      </w:tr>
      <w:tr w:rsidR="00DD7CBD" w:rsidRPr="00AE6C02" w14:paraId="68E75FC1" w14:textId="77777777" w:rsidTr="00F81902">
        <w:trPr>
          <w:trHeight w:val="350"/>
        </w:trPr>
        <w:tc>
          <w:tcPr>
            <w:tcW w:w="4585" w:type="dxa"/>
          </w:tcPr>
          <w:p w14:paraId="1CCCD1CD" w14:textId="77777777" w:rsidR="00DD7CBD" w:rsidRPr="00AE6C02" w:rsidRDefault="00DD7CBD" w:rsidP="00AE6C02">
            <w:pPr>
              <w:rPr>
                <w:rFonts w:ascii="Calibri" w:eastAsia="Calibri" w:hAnsi="Calibri" w:cs="Calibri"/>
                <w:color w:val="0070C0"/>
                <w:sz w:val="22"/>
                <w:szCs w:val="22"/>
              </w:rPr>
            </w:pPr>
            <w:r w:rsidRPr="00AE6C02">
              <w:rPr>
                <w:rFonts w:ascii="Calibri" w:eastAsia="Calibri" w:hAnsi="Calibri" w:cs="Calibri"/>
                <w:sz w:val="22"/>
                <w:szCs w:val="22"/>
              </w:rPr>
              <w:t>Annual Financial Statements</w:t>
            </w:r>
            <w:r w:rsidRPr="00AE6C02">
              <w:rPr>
                <w:rFonts w:ascii="Calibri" w:eastAsia="Calibri" w:hAnsi="Calibri" w:cs="Calibri"/>
                <w:color w:val="0070C0"/>
                <w:sz w:val="22"/>
                <w:szCs w:val="22"/>
              </w:rPr>
              <w:t xml:space="preserve"> </w:t>
            </w:r>
          </w:p>
        </w:tc>
        <w:tc>
          <w:tcPr>
            <w:tcW w:w="4860" w:type="dxa"/>
          </w:tcPr>
          <w:p w14:paraId="78995B0B" w14:textId="54EA577C"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 xml:space="preserve">Electronic: </w:t>
            </w:r>
            <w:r w:rsidR="00D25C2C">
              <w:rPr>
                <w:rFonts w:ascii="Calibri" w:eastAsia="Calibri" w:hAnsi="Calibri" w:cs="Calibri"/>
                <w:sz w:val="22"/>
                <w:szCs w:val="22"/>
              </w:rPr>
              <w:t xml:space="preserve">Dot </w:t>
            </w:r>
            <w:r w:rsidRPr="00AE6C02">
              <w:rPr>
                <w:rFonts w:ascii="Calibri" w:eastAsia="Calibri" w:hAnsi="Calibri" w:cs="Calibri"/>
                <w:sz w:val="22"/>
                <w:szCs w:val="22"/>
              </w:rPr>
              <w:t xml:space="preserve">One Drive </w:t>
            </w:r>
          </w:p>
        </w:tc>
      </w:tr>
      <w:tr w:rsidR="00DD7CBD" w:rsidRPr="00AE6C02" w14:paraId="3BFAE600" w14:textId="77777777" w:rsidTr="00F81902">
        <w:trPr>
          <w:trHeight w:val="620"/>
        </w:trPr>
        <w:tc>
          <w:tcPr>
            <w:tcW w:w="4585" w:type="dxa"/>
          </w:tcPr>
          <w:p w14:paraId="0F5155C5"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IRS determination &amp; decision letters</w:t>
            </w:r>
          </w:p>
        </w:tc>
        <w:tc>
          <w:tcPr>
            <w:tcW w:w="4860" w:type="dxa"/>
          </w:tcPr>
          <w:p w14:paraId="3E541433"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 xml:space="preserve">Electronic: DFH Legal Drive on SharePoint </w:t>
            </w:r>
          </w:p>
          <w:p w14:paraId="3A97B3C2" w14:textId="77777777" w:rsidR="00DD7CBD" w:rsidRPr="00AE6C02" w:rsidRDefault="00DD7CBD" w:rsidP="00AE6C02">
            <w:pPr>
              <w:rPr>
                <w:rFonts w:ascii="Calibri" w:eastAsia="Calibri" w:hAnsi="Calibri" w:cs="Calibri"/>
                <w:sz w:val="22"/>
                <w:szCs w:val="22"/>
              </w:rPr>
            </w:pPr>
            <w:r w:rsidRPr="00AE6C02">
              <w:rPr>
                <w:rFonts w:ascii="Calibri" w:eastAsia="Calibri" w:hAnsi="Calibri" w:cs="Calibri"/>
                <w:sz w:val="22"/>
                <w:szCs w:val="22"/>
              </w:rPr>
              <w:t>Hard Copy: BHS</w:t>
            </w:r>
          </w:p>
        </w:tc>
      </w:tr>
      <w:tr w:rsidR="00DD7CBD" w:rsidRPr="00AE6C02" w14:paraId="43A9C27C" w14:textId="77777777" w:rsidTr="00D75856">
        <w:trPr>
          <w:trHeight w:val="118"/>
        </w:trPr>
        <w:tc>
          <w:tcPr>
            <w:tcW w:w="9445" w:type="dxa"/>
            <w:gridSpan w:val="2"/>
            <w:shd w:val="clear" w:color="auto" w:fill="F2F2F2"/>
          </w:tcPr>
          <w:p w14:paraId="06560E39" w14:textId="42F24097" w:rsidR="00DD7CBD" w:rsidRPr="00AE6C02" w:rsidRDefault="00DD7CBD" w:rsidP="00AE6C02">
            <w:pPr>
              <w:autoSpaceDE w:val="0"/>
              <w:autoSpaceDN w:val="0"/>
              <w:adjustRightInd w:val="0"/>
              <w:spacing w:after="200" w:line="201" w:lineRule="atLeast"/>
              <w:jc w:val="center"/>
              <w:rPr>
                <w:rFonts w:ascii="Calibri" w:eastAsia="Calibri" w:hAnsi="Calibri" w:cs="Gotham Bold"/>
                <w:color w:val="000000"/>
                <w:sz w:val="32"/>
                <w:szCs w:val="32"/>
              </w:rPr>
            </w:pPr>
            <w:r w:rsidRPr="00AE6C02">
              <w:rPr>
                <w:rFonts w:ascii="Calibri" w:eastAsia="Calibri" w:hAnsi="Calibri" w:cs="Gotham Bold"/>
                <w:b/>
                <w:bCs/>
                <w:color w:val="000000"/>
                <w:sz w:val="32"/>
                <w:szCs w:val="32"/>
              </w:rPr>
              <w:t>Records to be Kept for 7 Years</w:t>
            </w:r>
          </w:p>
        </w:tc>
      </w:tr>
      <w:tr w:rsidR="00DD7CBD" w:rsidRPr="00AE6C02" w14:paraId="5E1C9DAC" w14:textId="77777777" w:rsidTr="00F81902">
        <w:trPr>
          <w:trHeight w:val="435"/>
        </w:trPr>
        <w:tc>
          <w:tcPr>
            <w:tcW w:w="4585" w:type="dxa"/>
            <w:shd w:val="clear" w:color="auto" w:fill="D9D9D9"/>
          </w:tcPr>
          <w:p w14:paraId="6296F745" w14:textId="77777777" w:rsidR="00DD7CBD" w:rsidRPr="00AE6C02" w:rsidRDefault="00DD7CBD" w:rsidP="00AE6C02">
            <w:pPr>
              <w:autoSpaceDE w:val="0"/>
              <w:autoSpaceDN w:val="0"/>
              <w:adjustRightInd w:val="0"/>
              <w:spacing w:after="200" w:line="201" w:lineRule="atLeast"/>
              <w:jc w:val="center"/>
              <w:rPr>
                <w:rFonts w:ascii="Calibri" w:eastAsia="Calibri" w:hAnsi="Calibri" w:cs="Gotham Bold"/>
                <w:b/>
                <w:bCs/>
                <w:color w:val="000000"/>
                <w:sz w:val="22"/>
                <w:szCs w:val="22"/>
              </w:rPr>
            </w:pPr>
            <w:r w:rsidRPr="00AE6C02">
              <w:rPr>
                <w:rFonts w:ascii="Calibri" w:eastAsia="Calibri" w:hAnsi="Calibri" w:cs="Gotham Bold"/>
                <w:b/>
                <w:bCs/>
                <w:color w:val="000000"/>
                <w:sz w:val="22"/>
                <w:szCs w:val="22"/>
              </w:rPr>
              <w:t>Description of record(s)</w:t>
            </w:r>
          </w:p>
        </w:tc>
        <w:tc>
          <w:tcPr>
            <w:tcW w:w="4860" w:type="dxa"/>
            <w:shd w:val="clear" w:color="auto" w:fill="D9D9D9"/>
          </w:tcPr>
          <w:p w14:paraId="5499054E" w14:textId="2DB70E3F" w:rsidR="00DD7CBD" w:rsidRPr="00AE6C02" w:rsidRDefault="00DD7CBD" w:rsidP="00AE6C02">
            <w:pPr>
              <w:autoSpaceDE w:val="0"/>
              <w:autoSpaceDN w:val="0"/>
              <w:adjustRightInd w:val="0"/>
              <w:spacing w:after="200" w:line="201" w:lineRule="atLeast"/>
              <w:jc w:val="center"/>
              <w:rPr>
                <w:rFonts w:ascii="Calibri" w:eastAsia="Calibri" w:hAnsi="Calibri" w:cs="Gotham Bold"/>
                <w:b/>
                <w:bCs/>
                <w:color w:val="000000"/>
                <w:sz w:val="22"/>
                <w:szCs w:val="22"/>
              </w:rPr>
            </w:pPr>
            <w:r w:rsidRPr="00AE6C02">
              <w:rPr>
                <w:rFonts w:ascii="Calibri" w:eastAsia="Calibri" w:hAnsi="Calibri" w:cs="Gotham Bold"/>
                <w:b/>
                <w:bCs/>
                <w:color w:val="000000"/>
                <w:sz w:val="22"/>
                <w:szCs w:val="22"/>
              </w:rPr>
              <w:t>Location of Records</w:t>
            </w:r>
          </w:p>
        </w:tc>
      </w:tr>
      <w:tr w:rsidR="00DD7CBD" w:rsidRPr="00AE6C02" w14:paraId="1A710644" w14:textId="77777777" w:rsidTr="00F81902">
        <w:trPr>
          <w:trHeight w:val="260"/>
        </w:trPr>
        <w:tc>
          <w:tcPr>
            <w:tcW w:w="4585" w:type="dxa"/>
          </w:tcPr>
          <w:p w14:paraId="23BD4BDF"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 xml:space="preserve">Bank statements </w:t>
            </w:r>
          </w:p>
        </w:tc>
        <w:tc>
          <w:tcPr>
            <w:tcW w:w="4860" w:type="dxa"/>
          </w:tcPr>
          <w:p w14:paraId="30147132"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Electronic: Banks where TFF has accounts</w:t>
            </w:r>
          </w:p>
        </w:tc>
      </w:tr>
      <w:tr w:rsidR="00DD7CBD" w:rsidRPr="00AE6C02" w14:paraId="0A0DE1D2" w14:textId="77777777" w:rsidTr="00F81902">
        <w:trPr>
          <w:trHeight w:val="503"/>
        </w:trPr>
        <w:tc>
          <w:tcPr>
            <w:tcW w:w="4585" w:type="dxa"/>
          </w:tcPr>
          <w:p w14:paraId="7D0A1C5E"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Investment Manager Reports</w:t>
            </w:r>
          </w:p>
        </w:tc>
        <w:tc>
          <w:tcPr>
            <w:tcW w:w="4860" w:type="dxa"/>
          </w:tcPr>
          <w:p w14:paraId="406CBCE3" w14:textId="77777777" w:rsidR="00FC5093" w:rsidRDefault="00DD7CBD" w:rsidP="00DD7CBD">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 xml:space="preserve">Electronic: TFF Investment Advisor Firm &amp; </w:t>
            </w:r>
          </w:p>
          <w:p w14:paraId="07EF2ECC" w14:textId="2A572F8E"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 xml:space="preserve">Dot OneDrive </w:t>
            </w:r>
          </w:p>
        </w:tc>
      </w:tr>
      <w:tr w:rsidR="00DD7CBD" w:rsidRPr="00AE6C02" w14:paraId="2418E0F1" w14:textId="77777777" w:rsidTr="00F81902">
        <w:trPr>
          <w:trHeight w:val="287"/>
        </w:trPr>
        <w:tc>
          <w:tcPr>
            <w:tcW w:w="4585" w:type="dxa"/>
          </w:tcPr>
          <w:p w14:paraId="519CE65E"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General IRS Correspondence</w:t>
            </w:r>
          </w:p>
        </w:tc>
        <w:tc>
          <w:tcPr>
            <w:tcW w:w="4860" w:type="dxa"/>
          </w:tcPr>
          <w:p w14:paraId="0B3E7D04" w14:textId="0324253D"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 xml:space="preserve">Electronic: </w:t>
            </w:r>
            <w:r w:rsidR="00134944">
              <w:rPr>
                <w:rFonts w:asciiTheme="minorHAnsi" w:eastAsia="Calibri" w:hAnsiTheme="minorHAnsi" w:cstheme="minorHAnsi"/>
                <w:sz w:val="22"/>
                <w:szCs w:val="22"/>
              </w:rPr>
              <w:t xml:space="preserve">Dot </w:t>
            </w:r>
            <w:r w:rsidRPr="00F81902">
              <w:rPr>
                <w:rFonts w:asciiTheme="minorHAnsi" w:eastAsia="Calibri" w:hAnsiTheme="minorHAnsi" w:cstheme="minorHAnsi"/>
                <w:sz w:val="22"/>
                <w:szCs w:val="22"/>
              </w:rPr>
              <w:t xml:space="preserve">One Drive </w:t>
            </w:r>
          </w:p>
        </w:tc>
      </w:tr>
      <w:tr w:rsidR="00DD7CBD" w:rsidRPr="00AE6C02" w14:paraId="5BAE23F1" w14:textId="77777777" w:rsidTr="00F81902">
        <w:trPr>
          <w:trHeight w:val="260"/>
        </w:trPr>
        <w:tc>
          <w:tcPr>
            <w:tcW w:w="4585" w:type="dxa"/>
          </w:tcPr>
          <w:p w14:paraId="697A46E7"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Grant Applications</w:t>
            </w:r>
          </w:p>
        </w:tc>
        <w:tc>
          <w:tcPr>
            <w:tcW w:w="4860" w:type="dxa"/>
          </w:tcPr>
          <w:p w14:paraId="12FF0574" w14:textId="05110C01"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CyberGrants</w:t>
            </w:r>
          </w:p>
        </w:tc>
      </w:tr>
      <w:tr w:rsidR="00DD7CBD" w:rsidRPr="00AE6C02" w14:paraId="76789999" w14:textId="77777777" w:rsidTr="00F81902">
        <w:trPr>
          <w:trHeight w:val="332"/>
        </w:trPr>
        <w:tc>
          <w:tcPr>
            <w:tcW w:w="4585" w:type="dxa"/>
          </w:tcPr>
          <w:p w14:paraId="42A5CE29"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Grant Receipts</w:t>
            </w:r>
          </w:p>
        </w:tc>
        <w:tc>
          <w:tcPr>
            <w:tcW w:w="4860" w:type="dxa"/>
          </w:tcPr>
          <w:p w14:paraId="6DE2CD2A"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TFF Shared Drive</w:t>
            </w:r>
          </w:p>
        </w:tc>
      </w:tr>
      <w:tr w:rsidR="00DD7CBD" w:rsidRPr="00AE6C02" w14:paraId="00EF9661" w14:textId="77777777" w:rsidTr="00F81902">
        <w:trPr>
          <w:trHeight w:val="332"/>
        </w:trPr>
        <w:tc>
          <w:tcPr>
            <w:tcW w:w="4585" w:type="dxa"/>
          </w:tcPr>
          <w:p w14:paraId="0BA97EAB" w14:textId="77777777" w:rsidR="00DD7CBD" w:rsidRPr="00F81902" w:rsidRDefault="00DD7CBD" w:rsidP="00F81902">
            <w:pPr>
              <w:pStyle w:val="NoSpacing"/>
              <w:rPr>
                <w:rFonts w:asciiTheme="minorHAnsi" w:eastAsia="Calibri" w:hAnsiTheme="minorHAnsi" w:cstheme="minorHAnsi"/>
                <w:color w:val="000000"/>
                <w:sz w:val="22"/>
                <w:szCs w:val="22"/>
              </w:rPr>
            </w:pPr>
            <w:r w:rsidRPr="00F81902">
              <w:rPr>
                <w:rFonts w:asciiTheme="minorHAnsi" w:eastAsia="Calibri" w:hAnsiTheme="minorHAnsi" w:cstheme="minorHAnsi"/>
                <w:sz w:val="22"/>
                <w:szCs w:val="22"/>
              </w:rPr>
              <w:t>Invoices substantiating the acquisition cost of each unit of property. See Capitalization Policy.</w:t>
            </w:r>
          </w:p>
        </w:tc>
        <w:tc>
          <w:tcPr>
            <w:tcW w:w="4860" w:type="dxa"/>
          </w:tcPr>
          <w:p w14:paraId="006D11CF" w14:textId="22B1233F" w:rsidR="00DD7CBD" w:rsidRPr="00F81902" w:rsidRDefault="00DD7CBD" w:rsidP="00F81902">
            <w:pPr>
              <w:pStyle w:val="NoSpacing"/>
              <w:rPr>
                <w:rFonts w:asciiTheme="minorHAnsi" w:eastAsia="Calibri" w:hAnsiTheme="minorHAnsi" w:cstheme="minorHAnsi"/>
                <w:color w:val="000000"/>
                <w:sz w:val="22"/>
                <w:szCs w:val="22"/>
              </w:rPr>
            </w:pPr>
            <w:r w:rsidRPr="00F81902">
              <w:rPr>
                <w:rFonts w:asciiTheme="minorHAnsi" w:eastAsia="Calibri" w:hAnsiTheme="minorHAnsi" w:cstheme="minorHAnsi"/>
                <w:color w:val="000000"/>
                <w:sz w:val="22"/>
                <w:szCs w:val="22"/>
              </w:rPr>
              <w:t xml:space="preserve">Dot One Drive </w:t>
            </w:r>
          </w:p>
        </w:tc>
      </w:tr>
      <w:tr w:rsidR="00DD7CBD" w:rsidRPr="00AE6C02" w14:paraId="14437CB6" w14:textId="77777777" w:rsidTr="00F81902">
        <w:trPr>
          <w:trHeight w:val="435"/>
        </w:trPr>
        <w:tc>
          <w:tcPr>
            <w:tcW w:w="4585" w:type="dxa"/>
          </w:tcPr>
          <w:p w14:paraId="0268BA1E"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Personnel records</w:t>
            </w:r>
          </w:p>
        </w:tc>
        <w:tc>
          <w:tcPr>
            <w:tcW w:w="4860" w:type="dxa"/>
          </w:tcPr>
          <w:p w14:paraId="06B8D131"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 xml:space="preserve">Dot Foods </w:t>
            </w:r>
          </w:p>
        </w:tc>
      </w:tr>
      <w:tr w:rsidR="00DD7CBD" w:rsidRPr="00AE6C02" w14:paraId="3DA058EF" w14:textId="77777777" w:rsidTr="00F81902">
        <w:trPr>
          <w:trHeight w:val="440"/>
        </w:trPr>
        <w:tc>
          <w:tcPr>
            <w:tcW w:w="4585" w:type="dxa"/>
          </w:tcPr>
          <w:p w14:paraId="7C140630"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W-2s, worker’s comp, pension, retirement, payroll, and related documents.</w:t>
            </w:r>
          </w:p>
        </w:tc>
        <w:tc>
          <w:tcPr>
            <w:tcW w:w="4860" w:type="dxa"/>
          </w:tcPr>
          <w:p w14:paraId="273E68DC"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Dot Foods</w:t>
            </w:r>
          </w:p>
        </w:tc>
      </w:tr>
      <w:tr w:rsidR="00DD7CBD" w:rsidRPr="00AE6C02" w14:paraId="42987813" w14:textId="77777777" w:rsidTr="00F81902">
        <w:trPr>
          <w:trHeight w:val="341"/>
        </w:trPr>
        <w:tc>
          <w:tcPr>
            <w:tcW w:w="4585" w:type="dxa"/>
          </w:tcPr>
          <w:p w14:paraId="4B809686"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Contracts, leases, and mortgages</w:t>
            </w:r>
          </w:p>
        </w:tc>
        <w:tc>
          <w:tcPr>
            <w:tcW w:w="4860" w:type="dxa"/>
          </w:tcPr>
          <w:p w14:paraId="1F1B7A62" w14:textId="458D6F84"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t xml:space="preserve">Electronic: </w:t>
            </w:r>
            <w:r w:rsidR="00134944">
              <w:rPr>
                <w:rFonts w:asciiTheme="minorHAnsi" w:eastAsia="Calibri" w:hAnsiTheme="minorHAnsi" w:cstheme="minorHAnsi"/>
                <w:sz w:val="22"/>
                <w:szCs w:val="22"/>
              </w:rPr>
              <w:t xml:space="preserve">Dot </w:t>
            </w:r>
            <w:r w:rsidRPr="00F81902">
              <w:rPr>
                <w:rFonts w:asciiTheme="minorHAnsi" w:eastAsia="Calibri" w:hAnsiTheme="minorHAnsi" w:cstheme="minorHAnsi"/>
                <w:sz w:val="22"/>
                <w:szCs w:val="22"/>
              </w:rPr>
              <w:t>One</w:t>
            </w:r>
            <w:r w:rsidR="00134944">
              <w:rPr>
                <w:rFonts w:asciiTheme="minorHAnsi" w:eastAsia="Calibri" w:hAnsiTheme="minorHAnsi" w:cstheme="minorHAnsi"/>
                <w:sz w:val="22"/>
                <w:szCs w:val="22"/>
              </w:rPr>
              <w:t xml:space="preserve"> </w:t>
            </w:r>
            <w:r w:rsidRPr="00F81902">
              <w:rPr>
                <w:rFonts w:asciiTheme="minorHAnsi" w:eastAsia="Calibri" w:hAnsiTheme="minorHAnsi" w:cstheme="minorHAnsi"/>
                <w:sz w:val="22"/>
                <w:szCs w:val="22"/>
              </w:rPr>
              <w:t xml:space="preserve">Drive </w:t>
            </w:r>
          </w:p>
        </w:tc>
      </w:tr>
      <w:tr w:rsidR="00DD7CBD" w:rsidRPr="00AE6C02" w14:paraId="5362EDF4" w14:textId="77777777" w:rsidTr="00F81902">
        <w:trPr>
          <w:trHeight w:val="350"/>
        </w:trPr>
        <w:tc>
          <w:tcPr>
            <w:tcW w:w="4585" w:type="dxa"/>
          </w:tcPr>
          <w:p w14:paraId="6E4337DB" w14:textId="77777777" w:rsidR="00DD7CBD" w:rsidRPr="00F81902" w:rsidRDefault="00DD7CBD" w:rsidP="00F81902">
            <w:pPr>
              <w:pStyle w:val="NoSpacing"/>
              <w:rPr>
                <w:rFonts w:asciiTheme="minorHAnsi" w:eastAsia="Calibri" w:hAnsiTheme="minorHAnsi" w:cstheme="minorHAnsi"/>
                <w:sz w:val="22"/>
                <w:szCs w:val="22"/>
              </w:rPr>
            </w:pPr>
            <w:r w:rsidRPr="00F81902">
              <w:rPr>
                <w:rFonts w:asciiTheme="minorHAnsi" w:eastAsia="Calibri" w:hAnsiTheme="minorHAnsi" w:cstheme="minorHAnsi"/>
                <w:sz w:val="22"/>
                <w:szCs w:val="22"/>
              </w:rPr>
              <w:lastRenderedPageBreak/>
              <w:t xml:space="preserve">Insurance Policies </w:t>
            </w:r>
          </w:p>
        </w:tc>
        <w:tc>
          <w:tcPr>
            <w:tcW w:w="4860" w:type="dxa"/>
          </w:tcPr>
          <w:p w14:paraId="23C2CD4A" w14:textId="08A246D2" w:rsidR="00DD7CBD" w:rsidRPr="00F81902" w:rsidRDefault="00D25C2C" w:rsidP="00F81902">
            <w:pPr>
              <w:pStyle w:val="NoSpacing"/>
              <w:rPr>
                <w:rFonts w:asciiTheme="minorHAnsi" w:eastAsia="Calibri" w:hAnsiTheme="minorHAnsi" w:cstheme="minorHAnsi"/>
                <w:sz w:val="22"/>
                <w:szCs w:val="22"/>
              </w:rPr>
            </w:pPr>
            <w:r>
              <w:rPr>
                <w:rFonts w:asciiTheme="minorHAnsi" w:eastAsia="Calibri" w:hAnsiTheme="minorHAnsi" w:cstheme="minorHAnsi"/>
                <w:sz w:val="22"/>
                <w:szCs w:val="22"/>
              </w:rPr>
              <w:t xml:space="preserve">Electronic: Dot </w:t>
            </w:r>
            <w:r w:rsidR="00DD7CBD" w:rsidRPr="00F81902">
              <w:rPr>
                <w:rFonts w:asciiTheme="minorHAnsi" w:eastAsia="Calibri" w:hAnsiTheme="minorHAnsi" w:cstheme="minorHAnsi"/>
                <w:sz w:val="22"/>
                <w:szCs w:val="22"/>
              </w:rPr>
              <w:t>One Drive. Insurance carrier.</w:t>
            </w:r>
          </w:p>
        </w:tc>
      </w:tr>
    </w:tbl>
    <w:p w14:paraId="52263799" w14:textId="77777777" w:rsidR="00A93E61" w:rsidRDefault="00A93E61" w:rsidP="00AE6C02">
      <w:pPr>
        <w:rPr>
          <w:rFonts w:ascii="Calibri" w:eastAsia="Calibri" w:hAnsi="Calibri"/>
          <w:b/>
          <w:sz w:val="22"/>
          <w:szCs w:val="22"/>
        </w:rPr>
      </w:pPr>
    </w:p>
    <w:p w14:paraId="299E89E4" w14:textId="3FE51367" w:rsidR="00AE6C02" w:rsidRPr="00AE6C02" w:rsidRDefault="00AE6C02" w:rsidP="00AE6C02">
      <w:pPr>
        <w:rPr>
          <w:rFonts w:ascii="Calibri" w:eastAsia="Calibri" w:hAnsi="Calibri" w:cs="Calibri"/>
          <w:b/>
          <w:bCs/>
          <w:sz w:val="22"/>
          <w:szCs w:val="22"/>
        </w:rPr>
      </w:pPr>
      <w:r w:rsidRPr="00AE6C02">
        <w:rPr>
          <w:rFonts w:ascii="Calibri" w:eastAsia="Calibri" w:hAnsi="Calibri"/>
          <w:b/>
          <w:bCs/>
          <w:sz w:val="22"/>
          <w:szCs w:val="22"/>
        </w:rPr>
        <w:t>Purging Records</w:t>
      </w:r>
    </w:p>
    <w:p w14:paraId="421CB4EA" w14:textId="77777777" w:rsidR="00AE6C02" w:rsidRPr="00AE6C02" w:rsidRDefault="00AE6C02" w:rsidP="00AE6C02">
      <w:pPr>
        <w:rPr>
          <w:rFonts w:ascii="Calibri" w:eastAsia="Calibri" w:hAnsi="Calibri" w:cs="Calibri"/>
          <w:bCs/>
          <w:sz w:val="22"/>
          <w:szCs w:val="22"/>
        </w:rPr>
      </w:pPr>
      <w:r w:rsidRPr="00AE6C02">
        <w:rPr>
          <w:rFonts w:ascii="Calibri" w:eastAsia="Calibri" w:hAnsi="Calibri" w:cs="Calibri"/>
          <w:sz w:val="22"/>
          <w:szCs w:val="22"/>
        </w:rPr>
        <w:t>Staff should discard or destroy documents appropriately and only when the documents should not be retained under this policy. The procedure should ensure that:</w:t>
      </w:r>
    </w:p>
    <w:p w14:paraId="62553A9D" w14:textId="57119AE3" w:rsidR="00AE6C02" w:rsidRPr="00F81902" w:rsidRDefault="00AE6C02" w:rsidP="00F81902">
      <w:pPr>
        <w:pStyle w:val="NoSpacing"/>
        <w:numPr>
          <w:ilvl w:val="0"/>
          <w:numId w:val="17"/>
        </w:numPr>
        <w:rPr>
          <w:rFonts w:asciiTheme="minorHAnsi" w:eastAsia="Calibri" w:hAnsiTheme="minorHAnsi" w:cstheme="minorHAnsi"/>
          <w:sz w:val="22"/>
          <w:szCs w:val="22"/>
        </w:rPr>
      </w:pPr>
      <w:r w:rsidRPr="00F81902">
        <w:rPr>
          <w:rFonts w:asciiTheme="minorHAnsi" w:eastAsia="Calibri" w:hAnsiTheme="minorHAnsi" w:cstheme="minorHAnsi"/>
          <w:sz w:val="22"/>
          <w:szCs w:val="22"/>
        </w:rPr>
        <w:t>The documents have reached the end of their retention period and are no longer useful to the conduct of the Foundation’s business,</w:t>
      </w:r>
    </w:p>
    <w:p w14:paraId="7AB68F6B" w14:textId="154A6CBE" w:rsidR="00AE6C02" w:rsidRPr="00F81902" w:rsidRDefault="00AE6C02" w:rsidP="00F81902">
      <w:pPr>
        <w:pStyle w:val="NoSpacing"/>
        <w:numPr>
          <w:ilvl w:val="0"/>
          <w:numId w:val="17"/>
        </w:numPr>
        <w:rPr>
          <w:rFonts w:asciiTheme="minorHAnsi" w:eastAsia="Calibri" w:hAnsiTheme="minorHAnsi" w:cstheme="minorHAnsi"/>
          <w:sz w:val="22"/>
          <w:szCs w:val="22"/>
        </w:rPr>
      </w:pPr>
      <w:r w:rsidRPr="00F81902">
        <w:rPr>
          <w:rFonts w:asciiTheme="minorHAnsi" w:eastAsia="Calibri" w:hAnsiTheme="minorHAnsi" w:cstheme="minorHAnsi"/>
          <w:sz w:val="22"/>
          <w:szCs w:val="22"/>
        </w:rPr>
        <w:t xml:space="preserve">The documents are not related to an investigation or inquiry by legal authority outside the Foundation, </w:t>
      </w:r>
    </w:p>
    <w:p w14:paraId="48A8FBC6" w14:textId="77777777" w:rsidR="00AE6C02" w:rsidRPr="00F81902" w:rsidRDefault="00AE6C02" w:rsidP="00F81902">
      <w:pPr>
        <w:pStyle w:val="NoSpacing"/>
        <w:numPr>
          <w:ilvl w:val="0"/>
          <w:numId w:val="17"/>
        </w:numPr>
        <w:rPr>
          <w:rFonts w:asciiTheme="minorHAnsi" w:eastAsia="Calibri" w:hAnsiTheme="minorHAnsi" w:cstheme="minorHAnsi"/>
          <w:sz w:val="22"/>
          <w:szCs w:val="22"/>
        </w:rPr>
      </w:pPr>
      <w:r w:rsidRPr="00F81902">
        <w:rPr>
          <w:rFonts w:asciiTheme="minorHAnsi" w:eastAsia="Calibri" w:hAnsiTheme="minorHAnsi" w:cstheme="minorHAnsi"/>
          <w:sz w:val="22"/>
          <w:szCs w:val="22"/>
        </w:rPr>
        <w:t>The documents are destroyed in an appropriate manner.</w:t>
      </w:r>
    </w:p>
    <w:p w14:paraId="15CFB72B" w14:textId="633A6174" w:rsidR="00AE6C02" w:rsidRPr="00F81902" w:rsidRDefault="00AE6C02" w:rsidP="00F81902">
      <w:pPr>
        <w:pStyle w:val="NoSpacing"/>
        <w:numPr>
          <w:ilvl w:val="0"/>
          <w:numId w:val="17"/>
        </w:numPr>
        <w:rPr>
          <w:rFonts w:asciiTheme="minorHAnsi" w:eastAsia="Calibri" w:hAnsiTheme="minorHAnsi" w:cstheme="minorHAnsi"/>
          <w:sz w:val="22"/>
          <w:szCs w:val="22"/>
        </w:rPr>
      </w:pPr>
      <w:r w:rsidRPr="00F81902">
        <w:rPr>
          <w:rFonts w:asciiTheme="minorHAnsi" w:eastAsia="Calibri" w:hAnsiTheme="minorHAnsi" w:cstheme="minorHAnsi"/>
          <w:sz w:val="22"/>
          <w:szCs w:val="22"/>
        </w:rPr>
        <w:t>For those Records that should be purged after seven years, the disposition should take place AFTER the tax return for a year is filed (making the disposition rule almost 8 years, in practice).</w:t>
      </w:r>
    </w:p>
    <w:p w14:paraId="5CB2B719" w14:textId="77777777" w:rsidR="00AE6C02" w:rsidRPr="00AE6C02" w:rsidRDefault="00AE6C02" w:rsidP="00AE6C02">
      <w:pPr>
        <w:ind w:left="1080"/>
        <w:rPr>
          <w:rFonts w:ascii="Calibri" w:eastAsia="Calibri" w:hAnsi="Calibri" w:cs="Calibri"/>
          <w:sz w:val="22"/>
          <w:szCs w:val="22"/>
        </w:rPr>
      </w:pPr>
    </w:p>
    <w:p w14:paraId="4F27290D" w14:textId="77777777" w:rsidR="00AE6C02" w:rsidRPr="00AE6C02" w:rsidRDefault="00AE6C02" w:rsidP="00AE6C02">
      <w:pPr>
        <w:rPr>
          <w:rFonts w:ascii="Calibri" w:eastAsia="Calibri" w:hAnsi="Calibri"/>
          <w:b/>
          <w:bCs/>
          <w:sz w:val="22"/>
          <w:szCs w:val="22"/>
        </w:rPr>
      </w:pPr>
      <w:r w:rsidRPr="00AE6C02">
        <w:rPr>
          <w:rFonts w:ascii="Calibri" w:eastAsia="Calibri" w:hAnsi="Calibri"/>
          <w:b/>
          <w:bCs/>
          <w:sz w:val="22"/>
          <w:szCs w:val="22"/>
        </w:rPr>
        <w:t>Lawsuits or Government Investigations</w:t>
      </w:r>
    </w:p>
    <w:p w14:paraId="2C5EB1F0" w14:textId="77777777" w:rsidR="00AE6C02" w:rsidRPr="00AE6C02" w:rsidRDefault="00AE6C02" w:rsidP="00AE6C02">
      <w:pPr>
        <w:rPr>
          <w:rFonts w:ascii="Calibri" w:eastAsia="Calibri" w:hAnsi="Calibri"/>
          <w:bCs/>
          <w:sz w:val="22"/>
          <w:szCs w:val="22"/>
        </w:rPr>
      </w:pPr>
      <w:r w:rsidRPr="00AE6C02">
        <w:rPr>
          <w:rFonts w:ascii="Calibri" w:eastAsia="Calibri" w:hAnsi="Calibri"/>
          <w:bCs/>
          <w:sz w:val="22"/>
          <w:szCs w:val="22"/>
        </w:rPr>
        <w:t>If a Director, Officer, or Employee personally becomes aware of a reasonable possibility that the Foundation will be involved in any manner in a lawsuit or a government investigation, or such persons are informed of this by the board Chair or President no Records relevant to the subject matter of the lawsuit or investigation shall be discarded.</w:t>
      </w:r>
    </w:p>
    <w:p w14:paraId="118478F3" w14:textId="77777777" w:rsidR="00A610F9" w:rsidRDefault="00A610F9" w:rsidP="002D6239">
      <w:pPr>
        <w:jc w:val="center"/>
        <w:rPr>
          <w:rFonts w:asciiTheme="minorHAnsi" w:hAnsiTheme="minorHAnsi"/>
          <w:bCs/>
          <w:i/>
          <w:iCs/>
          <w:sz w:val="18"/>
          <w:szCs w:val="18"/>
        </w:rPr>
      </w:pPr>
    </w:p>
    <w:p w14:paraId="2E2A87CA" w14:textId="77777777" w:rsidR="00A610F9" w:rsidRDefault="00A610F9" w:rsidP="002D6239">
      <w:pPr>
        <w:jc w:val="center"/>
        <w:rPr>
          <w:rFonts w:asciiTheme="minorHAnsi" w:hAnsiTheme="minorHAnsi"/>
          <w:bCs/>
          <w:i/>
          <w:iCs/>
          <w:sz w:val="18"/>
          <w:szCs w:val="18"/>
        </w:rPr>
      </w:pPr>
    </w:p>
    <w:p w14:paraId="08F244BE" w14:textId="77777777" w:rsidR="00A610F9" w:rsidRDefault="00A610F9" w:rsidP="002D6239">
      <w:pPr>
        <w:jc w:val="center"/>
        <w:rPr>
          <w:rFonts w:asciiTheme="minorHAnsi" w:hAnsiTheme="minorHAnsi"/>
          <w:bCs/>
          <w:i/>
          <w:iCs/>
          <w:sz w:val="18"/>
          <w:szCs w:val="18"/>
        </w:rPr>
      </w:pPr>
    </w:p>
    <w:p w14:paraId="3F6476AF" w14:textId="77777777" w:rsidR="00A610F9" w:rsidRDefault="00A610F9" w:rsidP="002D6239">
      <w:pPr>
        <w:jc w:val="center"/>
        <w:rPr>
          <w:rFonts w:asciiTheme="minorHAnsi" w:hAnsiTheme="minorHAnsi"/>
          <w:bCs/>
          <w:i/>
          <w:iCs/>
          <w:sz w:val="18"/>
          <w:szCs w:val="18"/>
        </w:rPr>
      </w:pPr>
    </w:p>
    <w:p w14:paraId="6935CB03" w14:textId="77777777" w:rsidR="00A610F9" w:rsidRDefault="00A610F9" w:rsidP="002D6239">
      <w:pPr>
        <w:jc w:val="center"/>
        <w:rPr>
          <w:rFonts w:asciiTheme="minorHAnsi" w:hAnsiTheme="minorHAnsi"/>
          <w:bCs/>
          <w:i/>
          <w:iCs/>
          <w:sz w:val="18"/>
          <w:szCs w:val="18"/>
        </w:rPr>
      </w:pPr>
    </w:p>
    <w:p w14:paraId="7E677B7D" w14:textId="77777777" w:rsidR="00A610F9" w:rsidRDefault="00A610F9" w:rsidP="002D6239">
      <w:pPr>
        <w:jc w:val="center"/>
        <w:rPr>
          <w:rFonts w:asciiTheme="minorHAnsi" w:hAnsiTheme="minorHAnsi"/>
          <w:bCs/>
          <w:i/>
          <w:iCs/>
          <w:sz w:val="18"/>
          <w:szCs w:val="18"/>
        </w:rPr>
      </w:pPr>
    </w:p>
    <w:p w14:paraId="0F9DD89A" w14:textId="77777777" w:rsidR="00A610F9" w:rsidRDefault="00A610F9" w:rsidP="002D6239">
      <w:pPr>
        <w:jc w:val="center"/>
        <w:rPr>
          <w:rFonts w:asciiTheme="minorHAnsi" w:hAnsiTheme="minorHAnsi"/>
          <w:bCs/>
          <w:i/>
          <w:iCs/>
          <w:sz w:val="18"/>
          <w:szCs w:val="18"/>
        </w:rPr>
      </w:pPr>
    </w:p>
    <w:p w14:paraId="62A94E2F" w14:textId="77777777" w:rsidR="004F06C8" w:rsidRDefault="004F06C8" w:rsidP="002D6239">
      <w:pPr>
        <w:jc w:val="center"/>
        <w:rPr>
          <w:rFonts w:asciiTheme="minorHAnsi" w:hAnsiTheme="minorHAnsi"/>
          <w:bCs/>
          <w:i/>
          <w:iCs/>
          <w:sz w:val="18"/>
          <w:szCs w:val="18"/>
        </w:rPr>
      </w:pPr>
    </w:p>
    <w:p w14:paraId="7731CFD2" w14:textId="65A6D052" w:rsidR="004B33C1" w:rsidRPr="00D00DB9" w:rsidRDefault="004B33C1" w:rsidP="005228FF">
      <w:pPr>
        <w:rPr>
          <w:rFonts w:asciiTheme="minorHAnsi" w:hAnsiTheme="minorHAnsi"/>
          <w:b/>
          <w:sz w:val="22"/>
          <w:szCs w:val="22"/>
        </w:rPr>
      </w:pPr>
    </w:p>
    <w:sectPr w:rsidR="004B33C1" w:rsidRPr="00D00DB9" w:rsidSect="00C04393">
      <w:footerReference w:type="default" r:id="rId9"/>
      <w:pgSz w:w="12240" w:h="15840"/>
      <w:pgMar w:top="1440" w:right="1440" w:bottom="1440" w:left="1440" w:header="720" w:footer="720" w:gutter="0"/>
      <w:pgBorders w:offsetFrom="page">
        <w:top w:val="single" w:sz="6" w:space="24" w:color="B5B6B6"/>
        <w:left w:val="single" w:sz="6" w:space="24" w:color="B5B6B6"/>
        <w:bottom w:val="single" w:sz="6" w:space="24" w:color="B5B6B6"/>
        <w:right w:val="single" w:sz="6" w:space="24" w:color="B5B6B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03F4" w14:textId="77777777" w:rsidR="004022BA" w:rsidRDefault="004022BA" w:rsidP="00C04393">
      <w:r>
        <w:separator/>
      </w:r>
    </w:p>
  </w:endnote>
  <w:endnote w:type="continuationSeparator" w:id="0">
    <w:p w14:paraId="24419253" w14:textId="77777777" w:rsidR="004022BA" w:rsidRDefault="004022BA" w:rsidP="00C0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Calibri"/>
    <w:charset w:val="00"/>
    <w:family w:val="auto"/>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58509"/>
      <w:docPartObj>
        <w:docPartGallery w:val="Page Numbers (Bottom of Page)"/>
        <w:docPartUnique/>
      </w:docPartObj>
    </w:sdtPr>
    <w:sdtEndPr>
      <w:rPr>
        <w:noProof/>
      </w:rPr>
    </w:sdtEndPr>
    <w:sdtContent>
      <w:p w14:paraId="111A6634" w14:textId="77777777" w:rsidR="00C04393" w:rsidRDefault="00C04393">
        <w:pPr>
          <w:pStyle w:val="Footer"/>
          <w:jc w:val="right"/>
        </w:pPr>
        <w:r>
          <w:fldChar w:fldCharType="begin"/>
        </w:r>
        <w:r>
          <w:instrText xml:space="preserve"> PAGE   \* MERGEFORMAT </w:instrText>
        </w:r>
        <w:r>
          <w:fldChar w:fldCharType="separate"/>
        </w:r>
        <w:r w:rsidR="00CD527B">
          <w:rPr>
            <w:noProof/>
          </w:rPr>
          <w:t>1</w:t>
        </w:r>
        <w:r>
          <w:rPr>
            <w:noProof/>
          </w:rPr>
          <w:fldChar w:fldCharType="end"/>
        </w:r>
      </w:p>
    </w:sdtContent>
  </w:sdt>
  <w:p w14:paraId="111A6635" w14:textId="77777777" w:rsidR="00C04393" w:rsidRDefault="00C04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8987" w14:textId="77777777" w:rsidR="004022BA" w:rsidRDefault="004022BA" w:rsidP="00C04393">
      <w:r>
        <w:separator/>
      </w:r>
    </w:p>
  </w:footnote>
  <w:footnote w:type="continuationSeparator" w:id="0">
    <w:p w14:paraId="7B6162D6" w14:textId="77777777" w:rsidR="004022BA" w:rsidRDefault="004022BA" w:rsidP="00C04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BD1"/>
    <w:multiLevelType w:val="hybridMultilevel"/>
    <w:tmpl w:val="04EE8E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357F7"/>
    <w:multiLevelType w:val="hybridMultilevel"/>
    <w:tmpl w:val="CFAEC4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13891"/>
    <w:multiLevelType w:val="hybridMultilevel"/>
    <w:tmpl w:val="CFA0E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C71"/>
    <w:multiLevelType w:val="multilevel"/>
    <w:tmpl w:val="45F2A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B5619"/>
    <w:multiLevelType w:val="hybridMultilevel"/>
    <w:tmpl w:val="63E00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E011E"/>
    <w:multiLevelType w:val="hybridMultilevel"/>
    <w:tmpl w:val="F162C5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15C21"/>
    <w:multiLevelType w:val="hybridMultilevel"/>
    <w:tmpl w:val="5A46B828"/>
    <w:lvl w:ilvl="0" w:tplc="04090015">
      <w:start w:val="1"/>
      <w:numFmt w:val="upp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0640D"/>
    <w:multiLevelType w:val="multilevel"/>
    <w:tmpl w:val="6FE29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71168"/>
    <w:multiLevelType w:val="hybridMultilevel"/>
    <w:tmpl w:val="ADB0C4B0"/>
    <w:lvl w:ilvl="0" w:tplc="0452059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E4E35"/>
    <w:multiLevelType w:val="hybridMultilevel"/>
    <w:tmpl w:val="CC38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912DD"/>
    <w:multiLevelType w:val="hybridMultilevel"/>
    <w:tmpl w:val="BD46CA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256507"/>
    <w:multiLevelType w:val="hybridMultilevel"/>
    <w:tmpl w:val="11184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5A7A1B"/>
    <w:multiLevelType w:val="hybridMultilevel"/>
    <w:tmpl w:val="677EB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6F2BBF"/>
    <w:multiLevelType w:val="hybridMultilevel"/>
    <w:tmpl w:val="DD46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73E6B"/>
    <w:multiLevelType w:val="hybridMultilevel"/>
    <w:tmpl w:val="ACE8B6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A104CA"/>
    <w:multiLevelType w:val="hybridMultilevel"/>
    <w:tmpl w:val="B6A800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5B659A"/>
    <w:multiLevelType w:val="hybridMultilevel"/>
    <w:tmpl w:val="08D2C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8F3997"/>
    <w:multiLevelType w:val="hybridMultilevel"/>
    <w:tmpl w:val="509E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50350">
    <w:abstractNumId w:val="3"/>
  </w:num>
  <w:num w:numId="2" w16cid:durableId="388654816">
    <w:abstractNumId w:val="7"/>
  </w:num>
  <w:num w:numId="3" w16cid:durableId="157039974">
    <w:abstractNumId w:val="6"/>
  </w:num>
  <w:num w:numId="4" w16cid:durableId="2042321477">
    <w:abstractNumId w:val="4"/>
  </w:num>
  <w:num w:numId="5" w16cid:durableId="632442424">
    <w:abstractNumId w:val="0"/>
  </w:num>
  <w:num w:numId="6" w16cid:durableId="806972546">
    <w:abstractNumId w:val="5"/>
  </w:num>
  <w:num w:numId="7" w16cid:durableId="519660398">
    <w:abstractNumId w:val="1"/>
  </w:num>
  <w:num w:numId="8" w16cid:durableId="1523476203">
    <w:abstractNumId w:val="10"/>
  </w:num>
  <w:num w:numId="9" w16cid:durableId="1610042209">
    <w:abstractNumId w:val="2"/>
  </w:num>
  <w:num w:numId="10" w16cid:durableId="1749040374">
    <w:abstractNumId w:val="14"/>
  </w:num>
  <w:num w:numId="11" w16cid:durableId="1561985185">
    <w:abstractNumId w:val="15"/>
  </w:num>
  <w:num w:numId="12" w16cid:durableId="476846305">
    <w:abstractNumId w:val="12"/>
  </w:num>
  <w:num w:numId="13" w16cid:durableId="2136831087">
    <w:abstractNumId w:val="16"/>
  </w:num>
  <w:num w:numId="14" w16cid:durableId="608707818">
    <w:abstractNumId w:val="9"/>
  </w:num>
  <w:num w:numId="15" w16cid:durableId="1754275734">
    <w:abstractNumId w:val="17"/>
  </w:num>
  <w:num w:numId="16" w16cid:durableId="2040549652">
    <w:abstractNumId w:val="11"/>
  </w:num>
  <w:num w:numId="17" w16cid:durableId="135339061">
    <w:abstractNumId w:val="13"/>
  </w:num>
  <w:num w:numId="18" w16cid:durableId="13930444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1NjCytDA3NjK3NDJW0lEKTi0uzszPAykwqgUA3LRRsiwAAAA="/>
  </w:docVars>
  <w:rsids>
    <w:rsidRoot w:val="006B2A66"/>
    <w:rsid w:val="00004A02"/>
    <w:rsid w:val="000177E3"/>
    <w:rsid w:val="000209FD"/>
    <w:rsid w:val="00020A08"/>
    <w:rsid w:val="00020D4F"/>
    <w:rsid w:val="00031876"/>
    <w:rsid w:val="00033810"/>
    <w:rsid w:val="000457CA"/>
    <w:rsid w:val="000539F5"/>
    <w:rsid w:val="00063F14"/>
    <w:rsid w:val="00075943"/>
    <w:rsid w:val="00083620"/>
    <w:rsid w:val="00085F49"/>
    <w:rsid w:val="000A6D6A"/>
    <w:rsid w:val="000B0149"/>
    <w:rsid w:val="000B41BA"/>
    <w:rsid w:val="000B6F5C"/>
    <w:rsid w:val="000E05C2"/>
    <w:rsid w:val="000F6FD1"/>
    <w:rsid w:val="0010524A"/>
    <w:rsid w:val="001326A7"/>
    <w:rsid w:val="00134944"/>
    <w:rsid w:val="00150E8A"/>
    <w:rsid w:val="001518DF"/>
    <w:rsid w:val="00161DC6"/>
    <w:rsid w:val="00173F72"/>
    <w:rsid w:val="00175697"/>
    <w:rsid w:val="00182CBB"/>
    <w:rsid w:val="00193707"/>
    <w:rsid w:val="0019606F"/>
    <w:rsid w:val="001A24EF"/>
    <w:rsid w:val="001A28F9"/>
    <w:rsid w:val="001B1787"/>
    <w:rsid w:val="001B3FC3"/>
    <w:rsid w:val="001B743D"/>
    <w:rsid w:val="001C3290"/>
    <w:rsid w:val="001D0202"/>
    <w:rsid w:val="001D661B"/>
    <w:rsid w:val="001E0E18"/>
    <w:rsid w:val="001E5386"/>
    <w:rsid w:val="00202209"/>
    <w:rsid w:val="00221195"/>
    <w:rsid w:val="00223042"/>
    <w:rsid w:val="00261B0C"/>
    <w:rsid w:val="002620F4"/>
    <w:rsid w:val="00273142"/>
    <w:rsid w:val="00283849"/>
    <w:rsid w:val="00292972"/>
    <w:rsid w:val="002A48E2"/>
    <w:rsid w:val="002B1988"/>
    <w:rsid w:val="002B2192"/>
    <w:rsid w:val="002B5B9F"/>
    <w:rsid w:val="002C3200"/>
    <w:rsid w:val="002D6239"/>
    <w:rsid w:val="002E0505"/>
    <w:rsid w:val="002F2CBB"/>
    <w:rsid w:val="00311CAB"/>
    <w:rsid w:val="00320BAB"/>
    <w:rsid w:val="00326D8F"/>
    <w:rsid w:val="00357A39"/>
    <w:rsid w:val="003607E1"/>
    <w:rsid w:val="00366B6F"/>
    <w:rsid w:val="00374FAB"/>
    <w:rsid w:val="00380F58"/>
    <w:rsid w:val="00397838"/>
    <w:rsid w:val="003E1968"/>
    <w:rsid w:val="003E3342"/>
    <w:rsid w:val="003F14E4"/>
    <w:rsid w:val="004022BA"/>
    <w:rsid w:val="00417086"/>
    <w:rsid w:val="00431F26"/>
    <w:rsid w:val="00436DCF"/>
    <w:rsid w:val="00441FAB"/>
    <w:rsid w:val="00453937"/>
    <w:rsid w:val="004628C8"/>
    <w:rsid w:val="00474F26"/>
    <w:rsid w:val="004849D6"/>
    <w:rsid w:val="0048690D"/>
    <w:rsid w:val="0049318A"/>
    <w:rsid w:val="00493960"/>
    <w:rsid w:val="00494064"/>
    <w:rsid w:val="004A7B93"/>
    <w:rsid w:val="004B33C1"/>
    <w:rsid w:val="004B6F79"/>
    <w:rsid w:val="004D17FB"/>
    <w:rsid w:val="004E1631"/>
    <w:rsid w:val="004E701F"/>
    <w:rsid w:val="004F06C8"/>
    <w:rsid w:val="004F61A0"/>
    <w:rsid w:val="005032BC"/>
    <w:rsid w:val="00504A42"/>
    <w:rsid w:val="00511984"/>
    <w:rsid w:val="0051669D"/>
    <w:rsid w:val="005228FF"/>
    <w:rsid w:val="00523343"/>
    <w:rsid w:val="00530D86"/>
    <w:rsid w:val="00534291"/>
    <w:rsid w:val="00560DBB"/>
    <w:rsid w:val="00561790"/>
    <w:rsid w:val="00577CF0"/>
    <w:rsid w:val="005829B8"/>
    <w:rsid w:val="005910FC"/>
    <w:rsid w:val="005A3A6C"/>
    <w:rsid w:val="005B242F"/>
    <w:rsid w:val="005C22CE"/>
    <w:rsid w:val="005D62EB"/>
    <w:rsid w:val="005D7160"/>
    <w:rsid w:val="005F08AE"/>
    <w:rsid w:val="005F2836"/>
    <w:rsid w:val="005F2C05"/>
    <w:rsid w:val="006063B0"/>
    <w:rsid w:val="00606718"/>
    <w:rsid w:val="006076C9"/>
    <w:rsid w:val="006277C1"/>
    <w:rsid w:val="006326F4"/>
    <w:rsid w:val="00633923"/>
    <w:rsid w:val="00634207"/>
    <w:rsid w:val="00637556"/>
    <w:rsid w:val="006430CE"/>
    <w:rsid w:val="00655FB4"/>
    <w:rsid w:val="00657E75"/>
    <w:rsid w:val="00664F77"/>
    <w:rsid w:val="006A38F6"/>
    <w:rsid w:val="006A7028"/>
    <w:rsid w:val="006B23CF"/>
    <w:rsid w:val="006B2A66"/>
    <w:rsid w:val="006D52E1"/>
    <w:rsid w:val="00721265"/>
    <w:rsid w:val="00723DAD"/>
    <w:rsid w:val="00733ABE"/>
    <w:rsid w:val="007403C0"/>
    <w:rsid w:val="0074605F"/>
    <w:rsid w:val="0075117F"/>
    <w:rsid w:val="007533E9"/>
    <w:rsid w:val="00776BCE"/>
    <w:rsid w:val="0079301A"/>
    <w:rsid w:val="007B59D5"/>
    <w:rsid w:val="007B603A"/>
    <w:rsid w:val="007D75D3"/>
    <w:rsid w:val="007F2C88"/>
    <w:rsid w:val="00803256"/>
    <w:rsid w:val="00807695"/>
    <w:rsid w:val="00825E3C"/>
    <w:rsid w:val="00834750"/>
    <w:rsid w:val="0084077D"/>
    <w:rsid w:val="008465DF"/>
    <w:rsid w:val="00850AEF"/>
    <w:rsid w:val="00851BB1"/>
    <w:rsid w:val="00854234"/>
    <w:rsid w:val="008645A0"/>
    <w:rsid w:val="00876853"/>
    <w:rsid w:val="0087756C"/>
    <w:rsid w:val="008821E8"/>
    <w:rsid w:val="00886B8C"/>
    <w:rsid w:val="008A1FFF"/>
    <w:rsid w:val="008C55DD"/>
    <w:rsid w:val="008C6BEB"/>
    <w:rsid w:val="008D0967"/>
    <w:rsid w:val="008D3FF1"/>
    <w:rsid w:val="008E7ED0"/>
    <w:rsid w:val="008F7D04"/>
    <w:rsid w:val="00920067"/>
    <w:rsid w:val="009218EA"/>
    <w:rsid w:val="00934E74"/>
    <w:rsid w:val="009455E2"/>
    <w:rsid w:val="00953630"/>
    <w:rsid w:val="00971A23"/>
    <w:rsid w:val="00971E06"/>
    <w:rsid w:val="00980E3B"/>
    <w:rsid w:val="00987106"/>
    <w:rsid w:val="009A5316"/>
    <w:rsid w:val="009E39F6"/>
    <w:rsid w:val="009F3D0B"/>
    <w:rsid w:val="00A05687"/>
    <w:rsid w:val="00A116CD"/>
    <w:rsid w:val="00A15AA9"/>
    <w:rsid w:val="00A17BF4"/>
    <w:rsid w:val="00A31485"/>
    <w:rsid w:val="00A54D88"/>
    <w:rsid w:val="00A556AC"/>
    <w:rsid w:val="00A610F9"/>
    <w:rsid w:val="00A65D5F"/>
    <w:rsid w:val="00A65D89"/>
    <w:rsid w:val="00A67848"/>
    <w:rsid w:val="00A80964"/>
    <w:rsid w:val="00A93E61"/>
    <w:rsid w:val="00AA7B14"/>
    <w:rsid w:val="00AC00EE"/>
    <w:rsid w:val="00AC761A"/>
    <w:rsid w:val="00AE6C02"/>
    <w:rsid w:val="00AE73A8"/>
    <w:rsid w:val="00AF139C"/>
    <w:rsid w:val="00AF5BC6"/>
    <w:rsid w:val="00B17322"/>
    <w:rsid w:val="00B33BFB"/>
    <w:rsid w:val="00B43374"/>
    <w:rsid w:val="00B455E1"/>
    <w:rsid w:val="00B4572D"/>
    <w:rsid w:val="00B533F0"/>
    <w:rsid w:val="00B73B5D"/>
    <w:rsid w:val="00B96435"/>
    <w:rsid w:val="00BA3E95"/>
    <w:rsid w:val="00BB23F6"/>
    <w:rsid w:val="00BF19C6"/>
    <w:rsid w:val="00BF314F"/>
    <w:rsid w:val="00BF7B15"/>
    <w:rsid w:val="00C01E67"/>
    <w:rsid w:val="00C04393"/>
    <w:rsid w:val="00C15FC1"/>
    <w:rsid w:val="00C22181"/>
    <w:rsid w:val="00C417D8"/>
    <w:rsid w:val="00C55D1B"/>
    <w:rsid w:val="00CA1272"/>
    <w:rsid w:val="00CA32F0"/>
    <w:rsid w:val="00CA65A5"/>
    <w:rsid w:val="00CB27E3"/>
    <w:rsid w:val="00CC49BB"/>
    <w:rsid w:val="00CD527B"/>
    <w:rsid w:val="00CD6D90"/>
    <w:rsid w:val="00CE7DD0"/>
    <w:rsid w:val="00CF615E"/>
    <w:rsid w:val="00D00DB9"/>
    <w:rsid w:val="00D11009"/>
    <w:rsid w:val="00D25C2C"/>
    <w:rsid w:val="00D51F02"/>
    <w:rsid w:val="00D70AC2"/>
    <w:rsid w:val="00D726A4"/>
    <w:rsid w:val="00D776D1"/>
    <w:rsid w:val="00D8305E"/>
    <w:rsid w:val="00D936C1"/>
    <w:rsid w:val="00DA26F0"/>
    <w:rsid w:val="00DA4586"/>
    <w:rsid w:val="00DB4BEE"/>
    <w:rsid w:val="00DC2071"/>
    <w:rsid w:val="00DC446F"/>
    <w:rsid w:val="00DD7CBD"/>
    <w:rsid w:val="00DF3820"/>
    <w:rsid w:val="00E120DF"/>
    <w:rsid w:val="00E142F1"/>
    <w:rsid w:val="00E17647"/>
    <w:rsid w:val="00E25144"/>
    <w:rsid w:val="00E613A0"/>
    <w:rsid w:val="00E66E82"/>
    <w:rsid w:val="00E671DF"/>
    <w:rsid w:val="00E7188F"/>
    <w:rsid w:val="00E8316F"/>
    <w:rsid w:val="00E86F9C"/>
    <w:rsid w:val="00E90FB6"/>
    <w:rsid w:val="00E93123"/>
    <w:rsid w:val="00EB1AEE"/>
    <w:rsid w:val="00EC6F2A"/>
    <w:rsid w:val="00ED250F"/>
    <w:rsid w:val="00EE2842"/>
    <w:rsid w:val="00EF2861"/>
    <w:rsid w:val="00EF2A05"/>
    <w:rsid w:val="00EF7B00"/>
    <w:rsid w:val="00F050EC"/>
    <w:rsid w:val="00F24096"/>
    <w:rsid w:val="00F4527C"/>
    <w:rsid w:val="00F45A63"/>
    <w:rsid w:val="00F46107"/>
    <w:rsid w:val="00F81902"/>
    <w:rsid w:val="00FA11B9"/>
    <w:rsid w:val="00FA6FF1"/>
    <w:rsid w:val="00FA7606"/>
    <w:rsid w:val="00FB7837"/>
    <w:rsid w:val="00FC39D8"/>
    <w:rsid w:val="00FC5093"/>
    <w:rsid w:val="00FD2C8E"/>
    <w:rsid w:val="00FD3613"/>
    <w:rsid w:val="00FE27F2"/>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65AD"/>
  <w15:docId w15:val="{C9956563-E429-45DF-93E3-51E392C8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2A66"/>
    <w:pPr>
      <w:keepNext/>
      <w:keepLines/>
      <w:spacing w:after="240"/>
      <w:outlineLvl w:val="0"/>
    </w:pPr>
    <w:rPr>
      <w:b/>
      <w:bCs/>
    </w:rPr>
  </w:style>
  <w:style w:type="paragraph" w:styleId="Heading4">
    <w:name w:val="heading 4"/>
    <w:basedOn w:val="Normal"/>
    <w:next w:val="Normal"/>
    <w:link w:val="Heading4Char"/>
    <w:uiPriority w:val="9"/>
    <w:semiHidden/>
    <w:unhideWhenUsed/>
    <w:qFormat/>
    <w:rsid w:val="00AE6C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A6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04393"/>
    <w:pPr>
      <w:tabs>
        <w:tab w:val="center" w:pos="4680"/>
        <w:tab w:val="right" w:pos="9360"/>
      </w:tabs>
    </w:pPr>
  </w:style>
  <w:style w:type="character" w:customStyle="1" w:styleId="HeaderChar">
    <w:name w:val="Header Char"/>
    <w:basedOn w:val="DefaultParagraphFont"/>
    <w:link w:val="Header"/>
    <w:uiPriority w:val="99"/>
    <w:rsid w:val="00C043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393"/>
    <w:pPr>
      <w:tabs>
        <w:tab w:val="center" w:pos="4680"/>
        <w:tab w:val="right" w:pos="9360"/>
      </w:tabs>
    </w:pPr>
  </w:style>
  <w:style w:type="character" w:customStyle="1" w:styleId="FooterChar">
    <w:name w:val="Footer Char"/>
    <w:basedOn w:val="DefaultParagraphFont"/>
    <w:link w:val="Footer"/>
    <w:uiPriority w:val="99"/>
    <w:rsid w:val="00C04393"/>
    <w:rPr>
      <w:rFonts w:ascii="Times New Roman" w:eastAsia="Times New Roman" w:hAnsi="Times New Roman" w:cs="Times New Roman"/>
      <w:sz w:val="24"/>
      <w:szCs w:val="24"/>
    </w:rPr>
  </w:style>
  <w:style w:type="paragraph" w:customStyle="1" w:styleId="Pa5">
    <w:name w:val="Pa5"/>
    <w:basedOn w:val="Normal"/>
    <w:next w:val="Normal"/>
    <w:uiPriority w:val="99"/>
    <w:rsid w:val="00ED250F"/>
    <w:pPr>
      <w:autoSpaceDE w:val="0"/>
      <w:autoSpaceDN w:val="0"/>
      <w:adjustRightInd w:val="0"/>
      <w:spacing w:line="201" w:lineRule="atLeast"/>
    </w:pPr>
    <w:rPr>
      <w:rFonts w:ascii="Gotham Bold" w:eastAsiaTheme="minorHAnsi" w:hAnsi="Gotham Bold" w:cstheme="minorBidi"/>
    </w:rPr>
  </w:style>
  <w:style w:type="paragraph" w:styleId="ListParagraph">
    <w:name w:val="List Paragraph"/>
    <w:basedOn w:val="Normal"/>
    <w:uiPriority w:val="34"/>
    <w:qFormat/>
    <w:rsid w:val="00A65D89"/>
    <w:pPr>
      <w:ind w:left="720"/>
      <w:contextualSpacing/>
    </w:pPr>
  </w:style>
  <w:style w:type="character" w:styleId="CommentReference">
    <w:name w:val="annotation reference"/>
    <w:basedOn w:val="DefaultParagraphFont"/>
    <w:uiPriority w:val="99"/>
    <w:semiHidden/>
    <w:unhideWhenUsed/>
    <w:rsid w:val="00FF563F"/>
    <w:rPr>
      <w:sz w:val="16"/>
      <w:szCs w:val="16"/>
    </w:rPr>
  </w:style>
  <w:style w:type="paragraph" w:styleId="CommentText">
    <w:name w:val="annotation text"/>
    <w:basedOn w:val="Normal"/>
    <w:link w:val="CommentTextChar"/>
    <w:uiPriority w:val="99"/>
    <w:semiHidden/>
    <w:unhideWhenUsed/>
    <w:rsid w:val="00FF563F"/>
    <w:rPr>
      <w:sz w:val="20"/>
      <w:szCs w:val="20"/>
    </w:rPr>
  </w:style>
  <w:style w:type="character" w:customStyle="1" w:styleId="CommentTextChar">
    <w:name w:val="Comment Text Char"/>
    <w:basedOn w:val="DefaultParagraphFont"/>
    <w:link w:val="CommentText"/>
    <w:uiPriority w:val="99"/>
    <w:semiHidden/>
    <w:rsid w:val="00FF56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563F"/>
    <w:rPr>
      <w:b/>
      <w:bCs/>
    </w:rPr>
  </w:style>
  <w:style w:type="character" w:customStyle="1" w:styleId="CommentSubjectChar">
    <w:name w:val="Comment Subject Char"/>
    <w:basedOn w:val="CommentTextChar"/>
    <w:link w:val="CommentSubject"/>
    <w:uiPriority w:val="99"/>
    <w:semiHidden/>
    <w:rsid w:val="00FF563F"/>
    <w:rPr>
      <w:rFonts w:ascii="Times New Roman" w:eastAsia="Times New Roman" w:hAnsi="Times New Roman" w:cs="Times New Roman"/>
      <w:b/>
      <w:bCs/>
      <w:sz w:val="20"/>
      <w:szCs w:val="20"/>
    </w:rPr>
  </w:style>
  <w:style w:type="paragraph" w:styleId="NoSpacing">
    <w:name w:val="No Spacing"/>
    <w:uiPriority w:val="1"/>
    <w:qFormat/>
    <w:rsid w:val="00BF314F"/>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441FA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6F5C"/>
    <w:rPr>
      <w:color w:val="0563C1"/>
      <w:u w:val="single"/>
    </w:rPr>
  </w:style>
  <w:style w:type="character" w:customStyle="1" w:styleId="Heading4Char">
    <w:name w:val="Heading 4 Char"/>
    <w:basedOn w:val="DefaultParagraphFont"/>
    <w:link w:val="Heading4"/>
    <w:uiPriority w:val="9"/>
    <w:semiHidden/>
    <w:rsid w:val="00AE6C0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7803">
      <w:bodyDiv w:val="1"/>
      <w:marLeft w:val="0"/>
      <w:marRight w:val="0"/>
      <w:marTop w:val="0"/>
      <w:marBottom w:val="0"/>
      <w:divBdr>
        <w:top w:val="none" w:sz="0" w:space="0" w:color="auto"/>
        <w:left w:val="none" w:sz="0" w:space="0" w:color="auto"/>
        <w:bottom w:val="none" w:sz="0" w:space="0" w:color="auto"/>
        <w:right w:val="none" w:sz="0" w:space="0" w:color="auto"/>
      </w:divBdr>
    </w:div>
    <w:div w:id="1876304521">
      <w:bodyDiv w:val="1"/>
      <w:marLeft w:val="0"/>
      <w:marRight w:val="0"/>
      <w:marTop w:val="0"/>
      <w:marBottom w:val="0"/>
      <w:divBdr>
        <w:top w:val="none" w:sz="0" w:space="0" w:color="auto"/>
        <w:left w:val="none" w:sz="0" w:space="0" w:color="auto"/>
        <w:bottom w:val="none" w:sz="0" w:space="0" w:color="auto"/>
        <w:right w:val="none" w:sz="0" w:space="0" w:color="auto"/>
      </w:divBdr>
    </w:div>
    <w:div w:id="21071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94E9B9CD02144894D3EEA3A3AE257B" ma:contentTypeVersion="14" ma:contentTypeDescription="Create a new document." ma:contentTypeScope="" ma:versionID="c5a72b67a976979567aaeab03674dcbf">
  <xsd:schema xmlns:xsd="http://www.w3.org/2001/XMLSchema" xmlns:xs="http://www.w3.org/2001/XMLSchema" xmlns:p="http://schemas.microsoft.com/office/2006/metadata/properties" xmlns:ns2="c3b63460-c1f6-4a5f-a73c-af79118bee21" xmlns:ns3="b0f8d676-f754-40bc-b18e-5c1692921efa" targetNamespace="http://schemas.microsoft.com/office/2006/metadata/properties" ma:root="true" ma:fieldsID="f49f57d290645faf1b4eafc729e8c0d8" ns2:_="" ns3:_="">
    <xsd:import namespace="c3b63460-c1f6-4a5f-a73c-af79118bee21"/>
    <xsd:import namespace="b0f8d676-f754-40bc-b18e-5c1692921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63460-c1f6-4a5f-a73c-af79118be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710b10-b370-4d4c-8519-005f7e7652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8d676-f754-40bc-b18e-5c1692921ef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0124c97-dba2-4083-9ad3-eb5033fbc536}" ma:internalName="TaxCatchAll" ma:showField="CatchAllData" ma:web="24161027-12e8-424b-aba8-72a7d3856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f8d676-f754-40bc-b18e-5c1692921efa" xsi:nil="true"/>
    <lcf76f155ced4ddcb4097134ff3c332f xmlns="c3b63460-c1f6-4a5f-a73c-af79118bee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51477D-E63D-4095-8B9E-57F9AA6698FA}">
  <ds:schemaRefs>
    <ds:schemaRef ds:uri="http://schemas.openxmlformats.org/officeDocument/2006/bibliography"/>
  </ds:schemaRefs>
</ds:datastoreItem>
</file>

<file path=customXml/itemProps2.xml><?xml version="1.0" encoding="utf-8"?>
<ds:datastoreItem xmlns:ds="http://schemas.openxmlformats.org/officeDocument/2006/customXml" ds:itemID="{E0B16F68-FAB3-4ABE-A089-E2C8D98F7E35}"/>
</file>

<file path=customXml/itemProps3.xml><?xml version="1.0" encoding="utf-8"?>
<ds:datastoreItem xmlns:ds="http://schemas.openxmlformats.org/officeDocument/2006/customXml" ds:itemID="{A3249FC9-EA06-4E5E-9E61-D4FF8E831AF9}"/>
</file>

<file path=customXml/itemProps4.xml><?xml version="1.0" encoding="utf-8"?>
<ds:datastoreItem xmlns:ds="http://schemas.openxmlformats.org/officeDocument/2006/customXml" ds:itemID="{6AB9B681-183C-4D6E-BF7F-EA5BE5B0EB3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Buckley</dc:creator>
  <cp:lastModifiedBy>Kim Bielik</cp:lastModifiedBy>
  <cp:revision>2</cp:revision>
  <dcterms:created xsi:type="dcterms:W3CDTF">2024-01-10T19:31:00Z</dcterms:created>
  <dcterms:modified xsi:type="dcterms:W3CDTF">2024-01-10T19:31:00Z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0x0101006694E9B9CD02144894D3EEA3A3AE257B</vt:lpwstr>
  </property>
</Properties>
</file>