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E3FA" w14:textId="1382C14B" w:rsidR="0079757D" w:rsidRDefault="0079757D" w:rsidP="00893947">
      <w:pPr>
        <w:pStyle w:val="NoSpacing"/>
      </w:pPr>
    </w:p>
    <w:p w14:paraId="5559667C" w14:textId="0068C3A9" w:rsidR="00572B08" w:rsidRPr="00C736C3" w:rsidRDefault="00572B08" w:rsidP="00572B08">
      <w:pPr>
        <w:jc w:val="center"/>
        <w:rPr>
          <w:rFonts w:ascii="Calibri" w:hAnsi="Calibri" w:cs="Calibri"/>
          <w:color w:val="000000"/>
          <w:sz w:val="22"/>
          <w:szCs w:val="22"/>
        </w:rPr>
      </w:pPr>
      <w:r w:rsidRPr="00C736C3">
        <w:rPr>
          <w:rFonts w:ascii="Calibri" w:hAnsi="Calibri" w:cs="Calibri"/>
          <w:noProof/>
          <w:color w:val="000000"/>
          <w:sz w:val="22"/>
          <w:szCs w:val="22"/>
        </w:rPr>
        <w:drawing>
          <wp:inline distT="0" distB="0" distL="0" distR="0" wp14:anchorId="1CB13560" wp14:editId="7A85F72F">
            <wp:extent cx="1422400"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400" cy="952500"/>
                    </a:xfrm>
                    <a:prstGeom prst="rect">
                      <a:avLst/>
                    </a:prstGeom>
                    <a:noFill/>
                    <a:ln>
                      <a:noFill/>
                    </a:ln>
                  </pic:spPr>
                </pic:pic>
              </a:graphicData>
            </a:graphic>
          </wp:inline>
        </w:drawing>
      </w:r>
    </w:p>
    <w:p w14:paraId="61BD8F3E" w14:textId="77777777" w:rsidR="00572B08" w:rsidRPr="00C736C3" w:rsidRDefault="00572B08" w:rsidP="00572B08">
      <w:pPr>
        <w:rPr>
          <w:rFonts w:ascii="Calibri" w:hAnsi="Calibri" w:cs="Calibri"/>
          <w:color w:val="000000"/>
          <w:sz w:val="22"/>
          <w:szCs w:val="22"/>
        </w:rPr>
      </w:pPr>
    </w:p>
    <w:p w14:paraId="402D2274" w14:textId="77777777" w:rsidR="00572B08" w:rsidRPr="00C736C3" w:rsidRDefault="00572B08" w:rsidP="00572B08">
      <w:pPr>
        <w:jc w:val="center"/>
        <w:rPr>
          <w:rFonts w:ascii="Calibri" w:hAnsi="Calibri" w:cs="Calibri"/>
          <w:b/>
          <w:bCs/>
          <w:color w:val="000000"/>
          <w:sz w:val="40"/>
          <w:szCs w:val="40"/>
        </w:rPr>
      </w:pPr>
      <w:r w:rsidRPr="00C736C3">
        <w:rPr>
          <w:rFonts w:ascii="Calibri" w:hAnsi="Calibri" w:cs="Calibri"/>
          <w:b/>
          <w:bCs/>
          <w:color w:val="000000"/>
          <w:sz w:val="40"/>
          <w:szCs w:val="40"/>
        </w:rPr>
        <w:t>Financial Controls Policy</w:t>
      </w:r>
    </w:p>
    <w:p w14:paraId="1E8F8952" w14:textId="77777777" w:rsidR="00572B08" w:rsidRPr="00C736C3" w:rsidRDefault="00572B08" w:rsidP="00572B08">
      <w:pPr>
        <w:jc w:val="center"/>
        <w:rPr>
          <w:rFonts w:ascii="Calibri" w:hAnsi="Calibri" w:cs="Calibri"/>
          <w:i/>
          <w:iCs/>
          <w:color w:val="000000"/>
          <w:sz w:val="18"/>
          <w:szCs w:val="18"/>
        </w:rPr>
      </w:pPr>
      <w:r w:rsidRPr="00C736C3">
        <w:rPr>
          <w:rFonts w:ascii="Calibri" w:hAnsi="Calibri" w:cs="Calibri"/>
          <w:i/>
          <w:iCs/>
          <w:color w:val="000000"/>
          <w:sz w:val="18"/>
          <w:szCs w:val="18"/>
        </w:rPr>
        <w:t>Originally Approved and Implemented: 2013</w:t>
      </w:r>
    </w:p>
    <w:p w14:paraId="0393C5B7" w14:textId="4BADB361" w:rsidR="00572B08" w:rsidRDefault="00572B08" w:rsidP="00572B08">
      <w:pPr>
        <w:jc w:val="center"/>
        <w:rPr>
          <w:rFonts w:ascii="Calibri" w:hAnsi="Calibri" w:cs="Calibri"/>
          <w:i/>
          <w:iCs/>
          <w:color w:val="000000"/>
          <w:sz w:val="18"/>
          <w:szCs w:val="18"/>
        </w:rPr>
      </w:pPr>
      <w:r w:rsidRPr="00C736C3">
        <w:rPr>
          <w:rFonts w:ascii="Calibri" w:hAnsi="Calibri" w:cs="Calibri"/>
          <w:i/>
          <w:iCs/>
          <w:color w:val="000000"/>
          <w:sz w:val="18"/>
          <w:szCs w:val="18"/>
        </w:rPr>
        <w:t xml:space="preserve">Revised and Approved: </w:t>
      </w:r>
      <w:r w:rsidR="00893947">
        <w:rPr>
          <w:rFonts w:ascii="Calibri" w:hAnsi="Calibri" w:cs="Calibri"/>
          <w:i/>
          <w:iCs/>
          <w:color w:val="000000"/>
          <w:sz w:val="18"/>
          <w:szCs w:val="18"/>
        </w:rPr>
        <w:t>Dece</w:t>
      </w:r>
      <w:r w:rsidR="00200267">
        <w:rPr>
          <w:rFonts w:ascii="Calibri" w:hAnsi="Calibri" w:cs="Calibri"/>
          <w:i/>
          <w:iCs/>
          <w:color w:val="000000"/>
          <w:sz w:val="18"/>
          <w:szCs w:val="18"/>
        </w:rPr>
        <w:t>mber 1, 2023</w:t>
      </w:r>
    </w:p>
    <w:p w14:paraId="38184BA4" w14:textId="77777777" w:rsidR="00200267" w:rsidRDefault="00200267" w:rsidP="00572B08">
      <w:pPr>
        <w:jc w:val="center"/>
        <w:rPr>
          <w:rFonts w:ascii="Calibri" w:hAnsi="Calibri" w:cs="Calibri"/>
          <w:i/>
          <w:iCs/>
          <w:color w:val="000000"/>
          <w:sz w:val="18"/>
          <w:szCs w:val="18"/>
        </w:rPr>
      </w:pPr>
    </w:p>
    <w:p w14:paraId="727E1742" w14:textId="77777777" w:rsidR="00200267" w:rsidRDefault="00200267" w:rsidP="00572B08">
      <w:pPr>
        <w:jc w:val="center"/>
        <w:rPr>
          <w:rFonts w:ascii="Calibri" w:hAnsi="Calibri" w:cs="Calibri"/>
          <w:i/>
          <w:iCs/>
          <w:color w:val="000000"/>
          <w:sz w:val="18"/>
          <w:szCs w:val="18"/>
        </w:rPr>
      </w:pPr>
    </w:p>
    <w:p w14:paraId="6AB16140" w14:textId="77777777" w:rsidR="001223CA" w:rsidRDefault="001223CA" w:rsidP="001223CA">
      <w:pPr>
        <w:pStyle w:val="NoSpacing"/>
        <w:rPr>
          <w:rFonts w:cs="Calibri"/>
          <w:b/>
          <w:color w:val="000000"/>
          <w:sz w:val="24"/>
          <w:szCs w:val="24"/>
        </w:rPr>
      </w:pPr>
      <w:r>
        <w:rPr>
          <w:rFonts w:cs="Calibri"/>
          <w:b/>
          <w:color w:val="000000"/>
          <w:sz w:val="24"/>
          <w:szCs w:val="24"/>
        </w:rPr>
        <w:t>Purpose of Policy</w:t>
      </w:r>
    </w:p>
    <w:p w14:paraId="31ECB4C3" w14:textId="77777777" w:rsidR="001223CA" w:rsidRDefault="001223CA" w:rsidP="001223CA">
      <w:pPr>
        <w:pStyle w:val="NoSpacing"/>
        <w:rPr>
          <w:rFonts w:cs="Calibri"/>
          <w:color w:val="000000"/>
        </w:rPr>
      </w:pPr>
      <w:r>
        <w:rPr>
          <w:rFonts w:cs="Calibri"/>
          <w:color w:val="000000"/>
        </w:rPr>
        <w:t xml:space="preserve">The purpose is </w:t>
      </w:r>
      <w:bookmarkStart w:id="0" w:name="_Hlk140932127"/>
      <w:r>
        <w:rPr>
          <w:rFonts w:cs="Calibri"/>
          <w:color w:val="000000"/>
        </w:rPr>
        <w:t xml:space="preserve">to establish policies and procedures to assure that 1) the board and officers understand their fiduciary responsibilities, 2) assets are managed properly, and 3) the charitable purposes of the organization are carried out. </w:t>
      </w:r>
      <w:bookmarkEnd w:id="0"/>
    </w:p>
    <w:p w14:paraId="60DF6585" w14:textId="77777777" w:rsidR="001223CA" w:rsidRDefault="001223CA" w:rsidP="001223CA">
      <w:pPr>
        <w:pStyle w:val="NoSpacing"/>
        <w:rPr>
          <w:rFonts w:cs="Calibri"/>
          <w:color w:val="000000"/>
          <w:sz w:val="16"/>
          <w:szCs w:val="16"/>
        </w:rPr>
      </w:pPr>
    </w:p>
    <w:p w14:paraId="7546807F" w14:textId="77777777" w:rsidR="001223CA" w:rsidRDefault="001223CA" w:rsidP="001223CA">
      <w:pPr>
        <w:pStyle w:val="NoSpacing"/>
        <w:rPr>
          <w:rFonts w:cs="Calibri"/>
          <w:b/>
          <w:color w:val="000000"/>
          <w:sz w:val="24"/>
          <w:szCs w:val="24"/>
        </w:rPr>
      </w:pPr>
      <w:r>
        <w:rPr>
          <w:rFonts w:cs="Calibri"/>
          <w:b/>
          <w:color w:val="000000"/>
          <w:sz w:val="24"/>
          <w:szCs w:val="24"/>
        </w:rPr>
        <w:t>Establishing New Accounts</w:t>
      </w:r>
    </w:p>
    <w:p w14:paraId="2CBC7888" w14:textId="77777777" w:rsidR="001223CA" w:rsidRDefault="001223CA" w:rsidP="001223CA">
      <w:pPr>
        <w:pStyle w:val="NoSpacing"/>
        <w:numPr>
          <w:ilvl w:val="4"/>
          <w:numId w:val="12"/>
        </w:numPr>
        <w:rPr>
          <w:rFonts w:cs="Calibri"/>
          <w:b/>
          <w:color w:val="000000"/>
          <w:u w:val="single"/>
        </w:rPr>
      </w:pPr>
      <w:r>
        <w:rPr>
          <w:rFonts w:cs="Calibri"/>
          <w:color w:val="000000"/>
        </w:rPr>
        <w:t xml:space="preserve">Board approval is required to open any new deposit and investment accounts, as well as to borrow money, in the name of and on behalf of the Tracy Family Foundation. </w:t>
      </w:r>
    </w:p>
    <w:p w14:paraId="5568BE90" w14:textId="40421E41" w:rsidR="001223CA" w:rsidRDefault="001223CA" w:rsidP="001223CA">
      <w:pPr>
        <w:pStyle w:val="NoSpacing"/>
        <w:numPr>
          <w:ilvl w:val="4"/>
          <w:numId w:val="12"/>
        </w:numPr>
        <w:rPr>
          <w:rFonts w:cs="Calibri"/>
          <w:b/>
          <w:color w:val="000000"/>
          <w:u w:val="single"/>
        </w:rPr>
      </w:pPr>
      <w:r>
        <w:rPr>
          <w:rFonts w:cs="Calibri"/>
          <w:color w:val="000000"/>
        </w:rPr>
        <w:t xml:space="preserve">Bank and Investment Accounts that are inactive (meaning no balance, no deposits, no withdraws) for 2 consecutive years will be closed out with the approval of the TFF Board Chair, TFF Treasurer, and TFF </w:t>
      </w:r>
      <w:r w:rsidRPr="00E50094">
        <w:rPr>
          <w:rFonts w:cs="Calibri"/>
          <w:color w:val="000000"/>
        </w:rPr>
        <w:t>President. It will be the responsibility of the TFF Treasurer or Finance Manager</w:t>
      </w:r>
      <w:r w:rsidRPr="00E50094">
        <w:rPr>
          <w:rFonts w:cs="Calibri"/>
          <w:color w:val="000000"/>
        </w:rPr>
        <w:t xml:space="preserve"> </w:t>
      </w:r>
      <w:r w:rsidRPr="00E50094">
        <w:rPr>
          <w:rFonts w:cs="Calibri"/>
          <w:color w:val="000000"/>
        </w:rPr>
        <w:t>to generate the account movements report every year.</w:t>
      </w:r>
    </w:p>
    <w:p w14:paraId="2E638D41" w14:textId="77777777" w:rsidR="001223CA" w:rsidRDefault="001223CA" w:rsidP="001223CA">
      <w:pPr>
        <w:pStyle w:val="NoSpacing"/>
        <w:numPr>
          <w:ilvl w:val="4"/>
          <w:numId w:val="12"/>
        </w:numPr>
        <w:rPr>
          <w:rFonts w:cs="Calibri"/>
          <w:b/>
          <w:color w:val="000000"/>
          <w:u w:val="single"/>
        </w:rPr>
      </w:pPr>
      <w:r>
        <w:rPr>
          <w:rFonts w:cs="Calibri"/>
          <w:color w:val="000000"/>
        </w:rPr>
        <w:t xml:space="preserve">The following individuals are authorized signors to open new accounts: TFF Board Chair, TFF Vice-Chair, TFF Treasurer, and TFF President. </w:t>
      </w:r>
    </w:p>
    <w:p w14:paraId="3C2EC284" w14:textId="77777777" w:rsidR="001223CA" w:rsidRDefault="001223CA" w:rsidP="001223CA">
      <w:pPr>
        <w:pStyle w:val="NoSpacing"/>
        <w:numPr>
          <w:ilvl w:val="4"/>
          <w:numId w:val="12"/>
        </w:numPr>
        <w:rPr>
          <w:rFonts w:cs="Calibri"/>
          <w:b/>
          <w:color w:val="000000"/>
          <w:u w:val="single"/>
        </w:rPr>
      </w:pPr>
      <w:r>
        <w:rPr>
          <w:rFonts w:cs="Calibri"/>
          <w:color w:val="000000"/>
        </w:rPr>
        <w:t>The following individuals are authorized to access secure information on accounts: TFF Finance Manager and authorized signors mentioned above.</w:t>
      </w:r>
    </w:p>
    <w:p w14:paraId="68E91BDD" w14:textId="77777777" w:rsidR="001223CA" w:rsidRDefault="001223CA" w:rsidP="001223CA">
      <w:pPr>
        <w:pStyle w:val="NoSpacing"/>
        <w:ind w:left="720"/>
        <w:rPr>
          <w:rFonts w:cs="Calibri"/>
          <w:b/>
          <w:color w:val="000000"/>
          <w:sz w:val="16"/>
          <w:szCs w:val="16"/>
          <w:u w:val="single"/>
        </w:rPr>
      </w:pPr>
    </w:p>
    <w:p w14:paraId="51DEEC4A" w14:textId="77777777" w:rsidR="001223CA" w:rsidRDefault="001223CA" w:rsidP="001223CA">
      <w:pPr>
        <w:pStyle w:val="NoSpacing"/>
        <w:rPr>
          <w:rFonts w:cs="Calibri"/>
          <w:color w:val="000000"/>
          <w:sz w:val="24"/>
          <w:szCs w:val="24"/>
        </w:rPr>
      </w:pPr>
      <w:r>
        <w:rPr>
          <w:rFonts w:cs="Calibri"/>
          <w:b/>
          <w:color w:val="000000"/>
          <w:sz w:val="24"/>
          <w:szCs w:val="24"/>
        </w:rPr>
        <w:t>Check Authorization</w:t>
      </w:r>
    </w:p>
    <w:p w14:paraId="701BA826" w14:textId="77777777" w:rsidR="001223CA" w:rsidRDefault="001223CA" w:rsidP="001223CA">
      <w:pPr>
        <w:pStyle w:val="NoSpacing"/>
        <w:numPr>
          <w:ilvl w:val="0"/>
          <w:numId w:val="13"/>
        </w:numPr>
        <w:rPr>
          <w:rFonts w:cs="Calibri"/>
          <w:color w:val="000000"/>
        </w:rPr>
      </w:pPr>
      <w:r>
        <w:rPr>
          <w:rFonts w:cs="Calibri"/>
          <w:color w:val="000000"/>
        </w:rPr>
        <w:t xml:space="preserve"> TFF checks may be authorized by any one of the following individuals:  TFF Board Chair, Vice-Chair, or TFF President.</w:t>
      </w:r>
    </w:p>
    <w:p w14:paraId="700EAEC4" w14:textId="77777777" w:rsidR="001223CA" w:rsidRDefault="001223CA" w:rsidP="001223CA">
      <w:pPr>
        <w:pStyle w:val="NoSpacing"/>
        <w:numPr>
          <w:ilvl w:val="0"/>
          <w:numId w:val="13"/>
        </w:numPr>
        <w:rPr>
          <w:rFonts w:cs="Calibri"/>
          <w:color w:val="000000"/>
        </w:rPr>
      </w:pPr>
      <w:r>
        <w:rPr>
          <w:rFonts w:cs="Calibri"/>
          <w:color w:val="000000"/>
        </w:rPr>
        <w:t>Authorized Person to access secure account information: TFF Finance Manager and Authorized Signers</w:t>
      </w:r>
    </w:p>
    <w:p w14:paraId="7E5383DE" w14:textId="77777777" w:rsidR="001223CA" w:rsidRDefault="001223CA" w:rsidP="001223CA">
      <w:pPr>
        <w:pStyle w:val="NoSpacing"/>
        <w:numPr>
          <w:ilvl w:val="0"/>
          <w:numId w:val="13"/>
        </w:numPr>
        <w:rPr>
          <w:rFonts w:cs="Calibri"/>
          <w:color w:val="000000"/>
        </w:rPr>
      </w:pPr>
      <w:r>
        <w:rPr>
          <w:rFonts w:cs="Calibri"/>
          <w:color w:val="000000"/>
        </w:rPr>
        <w:t xml:space="preserve">The preparer of checks is not authorized to sign or stamp checks with an authorized signature. </w:t>
      </w:r>
    </w:p>
    <w:p w14:paraId="64F6E6CA" w14:textId="77777777" w:rsidR="001223CA" w:rsidRDefault="001223CA" w:rsidP="001223CA">
      <w:pPr>
        <w:pStyle w:val="NoSpacing"/>
        <w:rPr>
          <w:rFonts w:cs="Calibri"/>
          <w:color w:val="000000"/>
        </w:rPr>
      </w:pPr>
      <w:r w:rsidRPr="00F110E6">
        <w:rPr>
          <w:rFonts w:cs="Calibri"/>
          <w:color w:val="000000"/>
        </w:rPr>
        <w:t>When issued checks are presented for payment at the bank, they are compared electronically against the list of transmitted checks</w:t>
      </w:r>
      <w:r>
        <w:rPr>
          <w:rFonts w:cs="Calibri"/>
          <w:color w:val="000000"/>
        </w:rPr>
        <w:t xml:space="preserve"> using the automated fraud detection tool known as Positive Pay. This</w:t>
      </w:r>
      <w:r w:rsidRPr="004215FA">
        <w:rPr>
          <w:rFonts w:cs="Calibri"/>
          <w:color w:val="000000"/>
        </w:rPr>
        <w:t xml:space="preserve"> is a service that matches the account number, check number</w:t>
      </w:r>
      <w:r>
        <w:rPr>
          <w:rFonts w:cs="Calibri"/>
          <w:color w:val="000000"/>
        </w:rPr>
        <w:t>,</w:t>
      </w:r>
      <w:r w:rsidRPr="004215FA">
        <w:rPr>
          <w:rFonts w:cs="Calibri"/>
          <w:color w:val="000000"/>
        </w:rPr>
        <w:t xml:space="preserve"> and dollar amount of each check presented for payment against a list of checks previously authorized and issued by </w:t>
      </w:r>
      <w:r>
        <w:rPr>
          <w:rFonts w:cs="Calibri"/>
          <w:color w:val="000000"/>
        </w:rPr>
        <w:t>the foundation</w:t>
      </w:r>
      <w:r w:rsidRPr="004215FA">
        <w:rPr>
          <w:rFonts w:cs="Calibri"/>
          <w:color w:val="000000"/>
        </w:rPr>
        <w:t xml:space="preserve">. All three components of the check must </w:t>
      </w:r>
      <w:proofErr w:type="gramStart"/>
      <w:r w:rsidRPr="004215FA">
        <w:rPr>
          <w:rFonts w:cs="Calibri"/>
          <w:color w:val="000000"/>
        </w:rPr>
        <w:t>match</w:t>
      </w:r>
      <w:proofErr w:type="gramEnd"/>
      <w:r w:rsidRPr="004215FA">
        <w:rPr>
          <w:rFonts w:cs="Calibri"/>
          <w:color w:val="000000"/>
        </w:rPr>
        <w:t xml:space="preserve"> or </w:t>
      </w:r>
      <w:r>
        <w:rPr>
          <w:rFonts w:cs="Calibri"/>
          <w:color w:val="000000"/>
        </w:rPr>
        <w:t>the bank</w:t>
      </w:r>
      <w:r w:rsidRPr="004215FA">
        <w:rPr>
          <w:rFonts w:cs="Calibri"/>
          <w:color w:val="000000"/>
        </w:rPr>
        <w:t xml:space="preserve"> will not </w:t>
      </w:r>
      <w:r>
        <w:rPr>
          <w:rFonts w:cs="Calibri"/>
          <w:color w:val="000000"/>
        </w:rPr>
        <w:t>release the funds for payment.</w:t>
      </w:r>
    </w:p>
    <w:p w14:paraId="2DF5B1AF" w14:textId="77777777" w:rsidR="00DC68BA" w:rsidRDefault="00DC68BA" w:rsidP="001223CA">
      <w:pPr>
        <w:pStyle w:val="NoSpacing"/>
        <w:rPr>
          <w:rFonts w:cs="Calibri"/>
          <w:color w:val="000000"/>
        </w:rPr>
      </w:pPr>
    </w:p>
    <w:p w14:paraId="6F00B90F" w14:textId="77777777" w:rsidR="001223CA" w:rsidRPr="009F78AF" w:rsidRDefault="001223CA" w:rsidP="001223CA">
      <w:pPr>
        <w:pStyle w:val="NoSpacing"/>
        <w:rPr>
          <w:rFonts w:cs="Calibri"/>
          <w:b/>
          <w:bCs/>
          <w:color w:val="000000"/>
        </w:rPr>
      </w:pPr>
      <w:r>
        <w:rPr>
          <w:rFonts w:cs="Calibri"/>
          <w:b/>
          <w:bCs/>
          <w:color w:val="000000"/>
        </w:rPr>
        <w:t>Monthly Bank Statement Reconciliation</w:t>
      </w:r>
    </w:p>
    <w:p w14:paraId="09C860F3" w14:textId="77777777" w:rsidR="001223CA" w:rsidRDefault="001223CA" w:rsidP="001223CA">
      <w:pPr>
        <w:pStyle w:val="NoSpacing"/>
        <w:rPr>
          <w:rFonts w:cs="Calibri"/>
          <w:color w:val="000000"/>
        </w:rPr>
      </w:pPr>
      <w:r w:rsidRPr="009F78AF">
        <w:rPr>
          <w:rFonts w:cs="Calibri"/>
          <w:color w:val="000000"/>
        </w:rPr>
        <w:t xml:space="preserve">Bank statements </w:t>
      </w:r>
      <w:r>
        <w:rPr>
          <w:rFonts w:cs="Calibri"/>
          <w:color w:val="000000"/>
        </w:rPr>
        <w:t>should be</w:t>
      </w:r>
      <w:r w:rsidRPr="009F78AF">
        <w:rPr>
          <w:rFonts w:cs="Calibri"/>
          <w:color w:val="000000"/>
        </w:rPr>
        <w:t xml:space="preserve"> reconciled monthly by the TFF Finance Manager. The </w:t>
      </w:r>
      <w:r>
        <w:rPr>
          <w:rFonts w:cs="Calibri"/>
          <w:color w:val="000000"/>
        </w:rPr>
        <w:t>President</w:t>
      </w:r>
      <w:r w:rsidRPr="009F78AF">
        <w:rPr>
          <w:rFonts w:cs="Calibri"/>
          <w:color w:val="000000"/>
        </w:rPr>
        <w:t xml:space="preserve"> </w:t>
      </w:r>
      <w:r>
        <w:rPr>
          <w:rFonts w:cs="Calibri"/>
          <w:color w:val="000000"/>
        </w:rPr>
        <w:t>should then</w:t>
      </w:r>
      <w:r w:rsidRPr="00282A6B">
        <w:rPr>
          <w:rFonts w:cs="Calibri"/>
          <w:color w:val="000000"/>
        </w:rPr>
        <w:t xml:space="preserve"> </w:t>
      </w:r>
      <w:r>
        <w:rPr>
          <w:rFonts w:cs="Calibri"/>
          <w:color w:val="000000"/>
        </w:rPr>
        <w:t>review</w:t>
      </w:r>
      <w:r w:rsidRPr="009F78AF">
        <w:rPr>
          <w:rFonts w:cs="Calibri"/>
          <w:color w:val="000000"/>
        </w:rPr>
        <w:t xml:space="preserve"> the monthly reconciled statements and file them for audit review. </w:t>
      </w:r>
    </w:p>
    <w:p w14:paraId="673BFE5A" w14:textId="77777777" w:rsidR="001223CA" w:rsidRDefault="001223CA" w:rsidP="001223CA">
      <w:pPr>
        <w:pStyle w:val="NoSpacing"/>
        <w:rPr>
          <w:rFonts w:cs="Calibri"/>
          <w:color w:val="000000"/>
        </w:rPr>
      </w:pPr>
    </w:p>
    <w:p w14:paraId="0399A5C1" w14:textId="77777777" w:rsidR="001223CA" w:rsidRDefault="001223CA" w:rsidP="001223CA">
      <w:pPr>
        <w:pStyle w:val="NoSpacing"/>
        <w:rPr>
          <w:rFonts w:cs="Calibri"/>
          <w:b/>
          <w:bCs/>
          <w:color w:val="000000"/>
        </w:rPr>
      </w:pPr>
      <w:r w:rsidRPr="00E611AA">
        <w:rPr>
          <w:rFonts w:cs="Calibri"/>
          <w:b/>
          <w:bCs/>
          <w:color w:val="000000"/>
        </w:rPr>
        <w:t>Annual TFF Budget</w:t>
      </w:r>
    </w:p>
    <w:p w14:paraId="38789589" w14:textId="793C8317" w:rsidR="001223CA" w:rsidRPr="00E611AA" w:rsidRDefault="001223CA" w:rsidP="001223CA">
      <w:pPr>
        <w:pStyle w:val="NoSpacing"/>
        <w:rPr>
          <w:rFonts w:cs="Calibri"/>
          <w:b/>
          <w:bCs/>
          <w:color w:val="000000"/>
        </w:rPr>
      </w:pPr>
      <w:r w:rsidRPr="00BA00D1">
        <w:rPr>
          <w:rFonts w:cs="Calibri"/>
          <w:color w:val="000000"/>
        </w:rPr>
        <w:t>By December 31</w:t>
      </w:r>
      <w:r w:rsidRPr="00BA00D1">
        <w:rPr>
          <w:rFonts w:cs="Calibri"/>
          <w:color w:val="000000"/>
          <w:vertAlign w:val="superscript"/>
        </w:rPr>
        <w:t>st</w:t>
      </w:r>
      <w:r w:rsidRPr="00E50094">
        <w:rPr>
          <w:rFonts w:cs="Calibri"/>
          <w:color w:val="000000"/>
        </w:rPr>
        <w:t>, at latest,</w:t>
      </w:r>
      <w:r w:rsidRPr="00BA00D1">
        <w:rPr>
          <w:rFonts w:cs="Calibri"/>
          <w:color w:val="000000"/>
        </w:rPr>
        <w:t xml:space="preserve"> the Board shall approve a </w:t>
      </w:r>
      <w:r w:rsidR="00E92C68">
        <w:rPr>
          <w:rFonts w:cs="Calibri"/>
          <w:color w:val="000000"/>
        </w:rPr>
        <w:t xml:space="preserve">DRAFT </w:t>
      </w:r>
      <w:r w:rsidRPr="00BA00D1">
        <w:rPr>
          <w:rFonts w:cs="Calibri"/>
          <w:color w:val="000000"/>
        </w:rPr>
        <w:t>budget for the following fiscal year.</w:t>
      </w:r>
    </w:p>
    <w:p w14:paraId="050D79FF" w14:textId="77777777" w:rsidR="001223CA" w:rsidRDefault="001223CA" w:rsidP="001223CA">
      <w:pPr>
        <w:pStyle w:val="NoSpacing"/>
        <w:rPr>
          <w:rFonts w:cs="Calibri"/>
          <w:color w:val="000000"/>
        </w:rPr>
      </w:pPr>
    </w:p>
    <w:p w14:paraId="710DDB37" w14:textId="77777777" w:rsidR="001223CA" w:rsidRDefault="001223CA" w:rsidP="001223CA">
      <w:pPr>
        <w:pStyle w:val="NoSpacing"/>
        <w:rPr>
          <w:rFonts w:cs="Calibri"/>
          <w:b/>
          <w:bCs/>
          <w:color w:val="000000"/>
        </w:rPr>
      </w:pPr>
      <w:r>
        <w:rPr>
          <w:rFonts w:cs="Calibri"/>
          <w:b/>
          <w:bCs/>
          <w:color w:val="000000"/>
        </w:rPr>
        <w:t>Financial Reporting</w:t>
      </w:r>
    </w:p>
    <w:p w14:paraId="3B9FB3EF" w14:textId="77777777" w:rsidR="001223CA" w:rsidRPr="009F78AF" w:rsidRDefault="001223CA" w:rsidP="001223CA">
      <w:pPr>
        <w:pStyle w:val="NoSpacing"/>
        <w:rPr>
          <w:rFonts w:cs="Calibri"/>
          <w:color w:val="000000"/>
        </w:rPr>
      </w:pPr>
      <w:r>
        <w:rPr>
          <w:rFonts w:cs="Calibri"/>
          <w:color w:val="000000"/>
        </w:rPr>
        <w:t xml:space="preserve">Each month, the President should email the Statement of Position (Balance Sheet) and Statement of Activities (Income Statement or Profit &amp; Loss Statement) to the Board Chair and TFF Treasurer. A Year-to-Date financial report should be provided by the TFF Treasurer at every TFF board meeting. In addition to the Statement of Position and Statement of Activities, the Treasurer should also present a budget variance report (budget vs. actual). </w:t>
      </w:r>
    </w:p>
    <w:p w14:paraId="78C6A17A" w14:textId="77777777" w:rsidR="001223CA" w:rsidRPr="00204B46" w:rsidRDefault="001223CA" w:rsidP="001223CA">
      <w:pPr>
        <w:pStyle w:val="NoSpacing"/>
        <w:rPr>
          <w:rFonts w:cs="Calibri"/>
          <w:color w:val="000000"/>
          <w:sz w:val="16"/>
          <w:szCs w:val="16"/>
        </w:rPr>
      </w:pPr>
    </w:p>
    <w:p w14:paraId="772DB45C" w14:textId="77777777" w:rsidR="001223CA" w:rsidRDefault="001223CA" w:rsidP="001223CA">
      <w:pPr>
        <w:pStyle w:val="NoSpacing"/>
        <w:rPr>
          <w:rFonts w:cs="Calibri"/>
          <w:b/>
          <w:color w:val="000000"/>
          <w:sz w:val="24"/>
          <w:szCs w:val="24"/>
        </w:rPr>
      </w:pPr>
      <w:r>
        <w:rPr>
          <w:rFonts w:cs="Calibri"/>
          <w:b/>
          <w:color w:val="000000"/>
          <w:sz w:val="24"/>
          <w:szCs w:val="24"/>
        </w:rPr>
        <w:t>Deposits, Withdraws, and Electronic Transfers</w:t>
      </w:r>
    </w:p>
    <w:p w14:paraId="2F6D351E" w14:textId="77777777" w:rsidR="001223CA" w:rsidRDefault="001223CA" w:rsidP="001223CA">
      <w:pPr>
        <w:pStyle w:val="NoSpacing"/>
        <w:numPr>
          <w:ilvl w:val="0"/>
          <w:numId w:val="14"/>
        </w:numPr>
        <w:rPr>
          <w:rFonts w:cs="Calibri"/>
          <w:color w:val="000000"/>
        </w:rPr>
      </w:pPr>
      <w:r>
        <w:rPr>
          <w:rFonts w:cs="Calibri"/>
          <w:color w:val="000000"/>
          <w:u w:val="single"/>
        </w:rPr>
        <w:t xml:space="preserve">Deposits </w:t>
      </w:r>
      <w:r>
        <w:rPr>
          <w:rFonts w:cs="Calibri"/>
          <w:color w:val="000000"/>
        </w:rPr>
        <w:t xml:space="preserve">into a TFF account can be made by anyone. </w:t>
      </w:r>
    </w:p>
    <w:p w14:paraId="0B9B97F1" w14:textId="77777777" w:rsidR="001223CA" w:rsidRDefault="001223CA" w:rsidP="001223CA">
      <w:pPr>
        <w:pStyle w:val="NoSpacing"/>
        <w:numPr>
          <w:ilvl w:val="0"/>
          <w:numId w:val="14"/>
        </w:numPr>
        <w:rPr>
          <w:rFonts w:cs="Calibri"/>
          <w:color w:val="000000"/>
        </w:rPr>
      </w:pPr>
      <w:r>
        <w:rPr>
          <w:rFonts w:cs="Calibri"/>
          <w:color w:val="000000"/>
          <w:u w:val="single"/>
        </w:rPr>
        <w:t xml:space="preserve">Withdraws </w:t>
      </w:r>
      <w:r>
        <w:rPr>
          <w:rFonts w:cs="Calibri"/>
          <w:color w:val="000000"/>
        </w:rPr>
        <w:t xml:space="preserve">can only be made by authorized check signers on the TFF account. </w:t>
      </w:r>
    </w:p>
    <w:p w14:paraId="6B20BC6F" w14:textId="77777777" w:rsidR="001223CA" w:rsidRDefault="001223CA" w:rsidP="001223CA">
      <w:pPr>
        <w:pStyle w:val="NoSpacing"/>
        <w:numPr>
          <w:ilvl w:val="0"/>
          <w:numId w:val="14"/>
        </w:numPr>
        <w:rPr>
          <w:rFonts w:cs="Calibri"/>
          <w:color w:val="000000"/>
        </w:rPr>
      </w:pPr>
      <w:r>
        <w:rPr>
          <w:rFonts w:cs="Calibri"/>
          <w:color w:val="000000"/>
          <w:u w:val="single"/>
        </w:rPr>
        <w:t xml:space="preserve">Electronic Transfers: </w:t>
      </w:r>
    </w:p>
    <w:p w14:paraId="61E9DDE4" w14:textId="77777777" w:rsidR="001223CA" w:rsidRDefault="001223CA" w:rsidP="001223CA">
      <w:pPr>
        <w:pStyle w:val="NoSpacing"/>
        <w:numPr>
          <w:ilvl w:val="1"/>
          <w:numId w:val="14"/>
        </w:numPr>
        <w:rPr>
          <w:rFonts w:cs="Calibri"/>
          <w:color w:val="000000"/>
        </w:rPr>
      </w:pPr>
      <w:r>
        <w:rPr>
          <w:rFonts w:cs="Calibri"/>
          <w:color w:val="000000"/>
          <w:u w:val="single"/>
        </w:rPr>
        <w:t xml:space="preserve">Internal Transfer of Funds </w:t>
      </w:r>
      <w:r>
        <w:rPr>
          <w:rFonts w:cs="Calibri"/>
          <w:color w:val="000000"/>
        </w:rPr>
        <w:t xml:space="preserve">(example: JP Morgan to BC State Bank): </w:t>
      </w:r>
    </w:p>
    <w:p w14:paraId="63F25F80" w14:textId="77777777" w:rsidR="001223CA" w:rsidRDefault="001223CA" w:rsidP="001223CA">
      <w:pPr>
        <w:pStyle w:val="NoSpacing"/>
        <w:numPr>
          <w:ilvl w:val="3"/>
          <w:numId w:val="15"/>
        </w:numPr>
        <w:rPr>
          <w:rFonts w:cs="Calibri"/>
          <w:color w:val="000000"/>
          <w:u w:val="single"/>
        </w:rPr>
      </w:pPr>
      <w:r>
        <w:rPr>
          <w:rFonts w:cs="Calibri"/>
          <w:color w:val="000000"/>
        </w:rPr>
        <w:t xml:space="preserve">Authorized Persons: Authorized check signers on the account. </w:t>
      </w:r>
    </w:p>
    <w:p w14:paraId="64468C03" w14:textId="77777777" w:rsidR="001223CA" w:rsidRDefault="001223CA" w:rsidP="001223CA">
      <w:pPr>
        <w:pStyle w:val="NoSpacing"/>
        <w:numPr>
          <w:ilvl w:val="3"/>
          <w:numId w:val="15"/>
        </w:numPr>
        <w:rPr>
          <w:rFonts w:cs="Calibri"/>
          <w:color w:val="000000"/>
          <w:u w:val="single"/>
        </w:rPr>
      </w:pPr>
      <w:r>
        <w:rPr>
          <w:rFonts w:cs="Calibri"/>
          <w:color w:val="000000"/>
        </w:rPr>
        <w:t xml:space="preserve">The individual authorizing the transfer of funds must copy other authorized individuals on the account (TFF Chair, Vice-Chair, Treasurer, and President) on the instructions for the transfer of funds. </w:t>
      </w:r>
    </w:p>
    <w:p w14:paraId="0176391E" w14:textId="77777777" w:rsidR="001223CA" w:rsidRDefault="001223CA" w:rsidP="001223CA">
      <w:pPr>
        <w:pStyle w:val="NoSpacing"/>
        <w:numPr>
          <w:ilvl w:val="1"/>
          <w:numId w:val="16"/>
        </w:numPr>
        <w:rPr>
          <w:rFonts w:cs="Calibri"/>
          <w:color w:val="000000"/>
          <w:u w:val="single"/>
        </w:rPr>
      </w:pPr>
      <w:r>
        <w:rPr>
          <w:rFonts w:cs="Calibri"/>
          <w:color w:val="000000"/>
          <w:u w:val="single"/>
        </w:rPr>
        <w:t xml:space="preserve">External Transfer of Funds </w:t>
      </w:r>
      <w:r>
        <w:rPr>
          <w:rFonts w:cs="Calibri"/>
          <w:color w:val="000000"/>
        </w:rPr>
        <w:t xml:space="preserve">(example: TFF/BC State Bank funds to a nonprofit organization):  </w:t>
      </w:r>
    </w:p>
    <w:p w14:paraId="2F79E833" w14:textId="77777777" w:rsidR="001223CA" w:rsidRDefault="001223CA" w:rsidP="001223CA">
      <w:pPr>
        <w:pStyle w:val="NoSpacing"/>
        <w:numPr>
          <w:ilvl w:val="3"/>
          <w:numId w:val="16"/>
        </w:numPr>
        <w:rPr>
          <w:rFonts w:cs="Calibri"/>
          <w:color w:val="000000"/>
          <w:u w:val="single"/>
        </w:rPr>
      </w:pPr>
      <w:r>
        <w:rPr>
          <w:rFonts w:cs="Calibri"/>
          <w:color w:val="000000"/>
        </w:rPr>
        <w:t xml:space="preserve">Authorized Persons: Authorized check signers on the account. </w:t>
      </w:r>
    </w:p>
    <w:p w14:paraId="72CDBE1F" w14:textId="77777777" w:rsidR="001223CA" w:rsidRDefault="001223CA" w:rsidP="001223CA">
      <w:pPr>
        <w:pStyle w:val="NoSpacing"/>
        <w:numPr>
          <w:ilvl w:val="3"/>
          <w:numId w:val="16"/>
        </w:numPr>
        <w:rPr>
          <w:rFonts w:cs="Calibri"/>
          <w:color w:val="000000"/>
          <w:u w:val="single"/>
        </w:rPr>
      </w:pPr>
      <w:r>
        <w:rPr>
          <w:rFonts w:cs="Calibri"/>
          <w:color w:val="000000"/>
        </w:rPr>
        <w:t xml:space="preserve">The individual authorizing the transfer of funds must copy other authorized individuals on the account (TFF Chair, Vice-Chair, Treasurer, and President) on the instructions for the transfer of funds. </w:t>
      </w:r>
    </w:p>
    <w:p w14:paraId="5A03AF8C" w14:textId="77777777" w:rsidR="001223CA" w:rsidRDefault="001223CA" w:rsidP="001223CA">
      <w:pPr>
        <w:pStyle w:val="NoSpacing"/>
        <w:rPr>
          <w:rFonts w:cs="Calibri"/>
          <w:b/>
          <w:color w:val="000000"/>
          <w:sz w:val="16"/>
          <w:szCs w:val="16"/>
        </w:rPr>
      </w:pPr>
    </w:p>
    <w:p w14:paraId="5A726EE4" w14:textId="77777777" w:rsidR="001223CA" w:rsidRDefault="001223CA" w:rsidP="001223CA">
      <w:pPr>
        <w:pStyle w:val="NoSpacing"/>
        <w:rPr>
          <w:rFonts w:eastAsia="Times New Roman" w:cstheme="minorHAnsi"/>
          <w:b/>
          <w:sz w:val="24"/>
          <w:szCs w:val="24"/>
        </w:rPr>
      </w:pPr>
      <w:r>
        <w:rPr>
          <w:rFonts w:eastAsia="Times New Roman" w:cstheme="minorHAnsi"/>
          <w:b/>
          <w:sz w:val="24"/>
          <w:szCs w:val="24"/>
        </w:rPr>
        <w:t>Crypto and Other Forms of Digital Currencies</w:t>
      </w:r>
    </w:p>
    <w:p w14:paraId="73150348" w14:textId="77777777" w:rsidR="001223CA" w:rsidRDefault="001223CA" w:rsidP="001223CA">
      <w:pPr>
        <w:pStyle w:val="NoSpacing"/>
        <w:rPr>
          <w:rFonts w:cstheme="minorHAnsi"/>
          <w:b/>
          <w:color w:val="000000"/>
          <w:sz w:val="24"/>
          <w:szCs w:val="24"/>
        </w:rPr>
      </w:pPr>
      <w:r>
        <w:rPr>
          <w:rFonts w:eastAsia="Times New Roman" w:cstheme="minorHAnsi"/>
        </w:rPr>
        <w:t>Any offers to contribute crypto or other forms of digital currencies are subject to board review and approval at the time of offer</w:t>
      </w:r>
      <w:r w:rsidRPr="00E50094">
        <w:rPr>
          <w:rFonts w:eastAsia="Times New Roman" w:cstheme="minorHAnsi"/>
        </w:rPr>
        <w:t>. Contributions that may be required in the form of NFT’s are not allowed.</w:t>
      </w:r>
    </w:p>
    <w:p w14:paraId="082BD4ED" w14:textId="77777777" w:rsidR="001223CA" w:rsidRDefault="001223CA" w:rsidP="001223CA">
      <w:pPr>
        <w:pStyle w:val="NoSpacing"/>
        <w:rPr>
          <w:rFonts w:cs="Calibri"/>
          <w:b/>
          <w:color w:val="000000"/>
          <w:sz w:val="16"/>
          <w:szCs w:val="16"/>
        </w:rPr>
      </w:pPr>
    </w:p>
    <w:p w14:paraId="14942DA4" w14:textId="77777777" w:rsidR="001223CA" w:rsidRDefault="001223CA" w:rsidP="001223CA">
      <w:pPr>
        <w:pStyle w:val="NoSpacing"/>
        <w:rPr>
          <w:rFonts w:cs="Calibri"/>
          <w:b/>
          <w:color w:val="000000"/>
          <w:sz w:val="24"/>
          <w:szCs w:val="24"/>
        </w:rPr>
      </w:pPr>
      <w:r>
        <w:rPr>
          <w:rFonts w:cs="Calibri"/>
          <w:b/>
          <w:color w:val="000000"/>
          <w:sz w:val="24"/>
          <w:szCs w:val="24"/>
        </w:rPr>
        <w:t>Payroll/Time Sheet Controls</w:t>
      </w:r>
    </w:p>
    <w:p w14:paraId="13A7A022" w14:textId="77777777" w:rsidR="001223CA" w:rsidRDefault="001223CA" w:rsidP="001223CA">
      <w:pPr>
        <w:pStyle w:val="NoSpacing"/>
        <w:rPr>
          <w:rFonts w:cs="Calibri"/>
          <w:color w:val="000000"/>
        </w:rPr>
      </w:pPr>
      <w:r>
        <w:rPr>
          <w:rFonts w:cs="Calibri"/>
          <w:color w:val="000000"/>
        </w:rPr>
        <w:t xml:space="preserve">TFF staff members are Dot Foods employees. The Chair of the Foundation is authorized to make payroll changes for the TFF President, per direction from the Tracy Family Foundation board of directors. The President of TFF is authorized to make payroll changes for all other staff of TFF, per the direction and approval of the TFF board. All payroll changes must be submitted to Dot’s Payroll Department. </w:t>
      </w:r>
    </w:p>
    <w:p w14:paraId="20B6EAA1" w14:textId="77777777" w:rsidR="001223CA" w:rsidRDefault="001223CA" w:rsidP="001223CA">
      <w:pPr>
        <w:pStyle w:val="NoSpacing"/>
        <w:rPr>
          <w:rFonts w:cs="Calibri"/>
          <w:color w:val="000000"/>
        </w:rPr>
      </w:pPr>
    </w:p>
    <w:p w14:paraId="2453F7C2" w14:textId="77777777" w:rsidR="001223CA" w:rsidRDefault="001223CA" w:rsidP="001223CA">
      <w:pPr>
        <w:pStyle w:val="NoSpacing"/>
        <w:rPr>
          <w:rFonts w:cs="Calibri"/>
          <w:color w:val="000000"/>
        </w:rPr>
      </w:pPr>
      <w:r>
        <w:rPr>
          <w:rFonts w:cs="Calibri"/>
          <w:color w:val="000000"/>
        </w:rPr>
        <w:t>For hourly staff members, the employee submits their hours to the President on the Monday following the end of the pay period.</w:t>
      </w:r>
    </w:p>
    <w:p w14:paraId="44549C14" w14:textId="77777777" w:rsidR="001223CA" w:rsidRDefault="001223CA" w:rsidP="001223CA">
      <w:pPr>
        <w:pStyle w:val="NoSpacing"/>
        <w:rPr>
          <w:rFonts w:cs="Calibri"/>
          <w:color w:val="000000"/>
          <w:sz w:val="16"/>
          <w:szCs w:val="16"/>
        </w:rPr>
      </w:pPr>
    </w:p>
    <w:p w14:paraId="7CF4737E" w14:textId="77777777" w:rsidR="001223CA" w:rsidRDefault="001223CA" w:rsidP="001223CA">
      <w:pPr>
        <w:pStyle w:val="NoSpacing"/>
        <w:rPr>
          <w:rFonts w:cs="Calibri"/>
          <w:b/>
          <w:color w:val="000000"/>
          <w:sz w:val="24"/>
          <w:szCs w:val="24"/>
        </w:rPr>
      </w:pPr>
      <w:r>
        <w:rPr>
          <w:rFonts w:cs="Calibri"/>
          <w:b/>
          <w:color w:val="000000"/>
          <w:sz w:val="24"/>
          <w:szCs w:val="24"/>
        </w:rPr>
        <w:t>Credit Card</w:t>
      </w:r>
    </w:p>
    <w:p w14:paraId="48FFACDF" w14:textId="77777777" w:rsidR="001223CA" w:rsidRDefault="001223CA" w:rsidP="001223CA">
      <w:pPr>
        <w:pStyle w:val="NoSpacing"/>
        <w:rPr>
          <w:rFonts w:cs="Calibri"/>
          <w:b/>
          <w:color w:val="000000"/>
        </w:rPr>
      </w:pPr>
      <w:r>
        <w:rPr>
          <w:rFonts w:cs="Calibri"/>
          <w:color w:val="000000"/>
        </w:rPr>
        <w:t xml:space="preserve">Adherence to the TFF Credit Card Policy is required.  </w:t>
      </w:r>
    </w:p>
    <w:p w14:paraId="1397C9D8" w14:textId="77777777" w:rsidR="001223CA" w:rsidRDefault="001223CA" w:rsidP="001223CA">
      <w:pPr>
        <w:pStyle w:val="NoSpacing"/>
        <w:ind w:left="720"/>
        <w:rPr>
          <w:rFonts w:cs="Calibri"/>
          <w:b/>
          <w:color w:val="000000"/>
          <w:sz w:val="16"/>
          <w:szCs w:val="16"/>
          <w:u w:val="single"/>
        </w:rPr>
      </w:pPr>
    </w:p>
    <w:p w14:paraId="41272D59" w14:textId="77777777" w:rsidR="001223CA" w:rsidRDefault="001223CA" w:rsidP="001223CA">
      <w:pPr>
        <w:pStyle w:val="NoSpacing"/>
        <w:rPr>
          <w:rFonts w:cs="Calibri"/>
          <w:b/>
          <w:color w:val="000000"/>
          <w:sz w:val="24"/>
          <w:szCs w:val="24"/>
        </w:rPr>
      </w:pPr>
      <w:r>
        <w:rPr>
          <w:rFonts w:cs="Calibri"/>
          <w:b/>
          <w:color w:val="000000"/>
          <w:sz w:val="24"/>
          <w:szCs w:val="24"/>
        </w:rPr>
        <w:t>Expense Reimbursement</w:t>
      </w:r>
    </w:p>
    <w:p w14:paraId="17038CEC" w14:textId="77777777" w:rsidR="001223CA" w:rsidRDefault="001223CA" w:rsidP="001223CA">
      <w:pPr>
        <w:pStyle w:val="NoSpacing"/>
        <w:rPr>
          <w:rFonts w:cs="Calibri"/>
          <w:color w:val="000000"/>
        </w:rPr>
      </w:pPr>
      <w:r>
        <w:rPr>
          <w:rFonts w:cs="Calibri"/>
          <w:color w:val="000000"/>
        </w:rPr>
        <w:t xml:space="preserve">Adherence to the TFF Travel &amp; Expense Reimbursement Policy is required. </w:t>
      </w:r>
    </w:p>
    <w:p w14:paraId="7E41E830" w14:textId="77777777" w:rsidR="001223CA" w:rsidRDefault="001223CA" w:rsidP="001223CA">
      <w:pPr>
        <w:pStyle w:val="NoSpacing"/>
        <w:rPr>
          <w:rFonts w:cs="Calibri"/>
          <w:b/>
          <w:color w:val="000000"/>
          <w:sz w:val="16"/>
          <w:szCs w:val="16"/>
        </w:rPr>
      </w:pPr>
    </w:p>
    <w:p w14:paraId="41756AF4" w14:textId="77777777" w:rsidR="001223CA" w:rsidRDefault="001223CA" w:rsidP="001223CA">
      <w:pPr>
        <w:pStyle w:val="NoSpacing"/>
        <w:rPr>
          <w:rFonts w:cs="Calibri"/>
          <w:b/>
          <w:color w:val="000000"/>
          <w:sz w:val="24"/>
          <w:szCs w:val="24"/>
        </w:rPr>
      </w:pPr>
      <w:r>
        <w:rPr>
          <w:rFonts w:cs="Calibri"/>
          <w:b/>
          <w:color w:val="000000"/>
          <w:sz w:val="24"/>
          <w:szCs w:val="24"/>
        </w:rPr>
        <w:t>Investment Accounts</w:t>
      </w:r>
    </w:p>
    <w:p w14:paraId="5094F3AC" w14:textId="77777777" w:rsidR="001223CA" w:rsidRDefault="001223CA" w:rsidP="001223CA">
      <w:pPr>
        <w:pStyle w:val="NoSpacing"/>
        <w:numPr>
          <w:ilvl w:val="0"/>
          <w:numId w:val="17"/>
        </w:numPr>
        <w:rPr>
          <w:rFonts w:cs="Calibri"/>
          <w:b/>
          <w:color w:val="000000"/>
        </w:rPr>
      </w:pPr>
      <w:r>
        <w:rPr>
          <w:rFonts w:cs="Calibri"/>
          <w:color w:val="000000"/>
        </w:rPr>
        <w:t xml:space="preserve">Adherence to the TFF Investment Policy is required. </w:t>
      </w:r>
    </w:p>
    <w:p w14:paraId="7D54EFF0" w14:textId="77777777" w:rsidR="001223CA" w:rsidRDefault="001223CA" w:rsidP="001223CA">
      <w:pPr>
        <w:pStyle w:val="NoSpacing"/>
        <w:numPr>
          <w:ilvl w:val="0"/>
          <w:numId w:val="17"/>
        </w:numPr>
        <w:rPr>
          <w:rFonts w:cs="Calibri"/>
          <w:color w:val="000000"/>
          <w:u w:val="single"/>
        </w:rPr>
      </w:pPr>
      <w:r>
        <w:rPr>
          <w:rFonts w:cs="Calibri"/>
          <w:color w:val="000000"/>
        </w:rPr>
        <w:t>Persons authorized to give instructions to TFF Investment Advisor:  TFF Chair, TFF Vice- Chair, TFF Treasurer, and TFF President. These individuals are authorized to approve the following: invest the assets of TFF; Obtain account information; Approve purchase, sale, exchange, or transfer of all investments; Approve deposits, withdraws, and electronic transfers.</w:t>
      </w:r>
    </w:p>
    <w:p w14:paraId="3E85BDF4" w14:textId="77777777" w:rsidR="001223CA" w:rsidRDefault="001223CA" w:rsidP="001223CA">
      <w:pPr>
        <w:pStyle w:val="NoSpacing"/>
        <w:numPr>
          <w:ilvl w:val="0"/>
          <w:numId w:val="17"/>
        </w:numPr>
        <w:rPr>
          <w:rFonts w:cs="Calibri"/>
          <w:color w:val="000000"/>
        </w:rPr>
      </w:pPr>
      <w:r>
        <w:rPr>
          <w:rFonts w:cs="Calibri"/>
          <w:color w:val="000000"/>
        </w:rPr>
        <w:t>Authorized Person to secure account information:  TFF President, TFF Chair, TFF Vice-Chair, TFF Treasurer, and TFF Finance Manager</w:t>
      </w:r>
    </w:p>
    <w:p w14:paraId="2BD5058B" w14:textId="77777777" w:rsidR="001223CA" w:rsidRDefault="001223CA" w:rsidP="001223CA">
      <w:pPr>
        <w:pStyle w:val="NoSpacing"/>
        <w:rPr>
          <w:rFonts w:cs="Calibri"/>
          <w:i/>
          <w:color w:val="000000"/>
          <w:sz w:val="16"/>
          <w:szCs w:val="16"/>
        </w:rPr>
      </w:pPr>
    </w:p>
    <w:p w14:paraId="26427F69" w14:textId="77777777" w:rsidR="001223CA" w:rsidRDefault="001223CA" w:rsidP="001223CA">
      <w:pPr>
        <w:pStyle w:val="NoSpacing"/>
        <w:rPr>
          <w:rFonts w:cs="Calibri"/>
          <w:b/>
          <w:color w:val="000000"/>
          <w:sz w:val="24"/>
          <w:szCs w:val="24"/>
        </w:rPr>
      </w:pPr>
      <w:r>
        <w:rPr>
          <w:rFonts w:cs="Calibri"/>
          <w:b/>
          <w:color w:val="000000"/>
          <w:sz w:val="24"/>
          <w:szCs w:val="24"/>
        </w:rPr>
        <w:t>Grant Authorization</w:t>
      </w:r>
    </w:p>
    <w:p w14:paraId="601EB7C8" w14:textId="77777777" w:rsidR="001223CA" w:rsidRDefault="001223CA" w:rsidP="001223CA">
      <w:pPr>
        <w:pStyle w:val="NoSpacing"/>
        <w:rPr>
          <w:rFonts w:cs="Calibri"/>
          <w:color w:val="000000"/>
        </w:rPr>
      </w:pPr>
      <w:r>
        <w:rPr>
          <w:rFonts w:cs="Calibri"/>
          <w:color w:val="000000"/>
        </w:rPr>
        <w:t xml:space="preserve">Adherence to the TFF Grant Authorization Policy is required. </w:t>
      </w:r>
    </w:p>
    <w:p w14:paraId="157D6F4A" w14:textId="77777777" w:rsidR="001223CA" w:rsidRDefault="001223CA" w:rsidP="001223CA">
      <w:pPr>
        <w:pStyle w:val="NoSpacing"/>
        <w:ind w:left="360"/>
        <w:rPr>
          <w:rFonts w:cs="Calibri"/>
          <w:color w:val="000000"/>
          <w:sz w:val="16"/>
          <w:szCs w:val="16"/>
        </w:rPr>
      </w:pPr>
    </w:p>
    <w:p w14:paraId="0823387C" w14:textId="77777777" w:rsidR="001223CA" w:rsidRDefault="001223CA" w:rsidP="001223CA">
      <w:pPr>
        <w:pStyle w:val="NoSpacing"/>
        <w:rPr>
          <w:rFonts w:cs="Calibri"/>
          <w:b/>
          <w:color w:val="000000"/>
          <w:sz w:val="24"/>
          <w:szCs w:val="24"/>
        </w:rPr>
      </w:pPr>
      <w:r>
        <w:rPr>
          <w:rFonts w:cs="Calibri"/>
          <w:b/>
          <w:color w:val="000000"/>
          <w:sz w:val="24"/>
          <w:szCs w:val="24"/>
        </w:rPr>
        <w:t>Contracts</w:t>
      </w:r>
    </w:p>
    <w:p w14:paraId="4A3AB547" w14:textId="3069977F" w:rsidR="001223CA" w:rsidRDefault="00E50094" w:rsidP="001223CA">
      <w:pPr>
        <w:pStyle w:val="NoSpacing"/>
        <w:rPr>
          <w:rFonts w:cs="Calibri"/>
          <w:color w:val="000000"/>
        </w:rPr>
      </w:pPr>
      <w:r>
        <w:rPr>
          <w:rFonts w:cs="Calibri"/>
          <w:color w:val="000000"/>
        </w:rPr>
        <w:t>All c</w:t>
      </w:r>
      <w:r w:rsidR="001223CA">
        <w:rPr>
          <w:rFonts w:cs="Calibri"/>
          <w:color w:val="000000"/>
        </w:rPr>
        <w:t xml:space="preserve">ontracts not considered grants or direct charitable activities must be </w:t>
      </w:r>
      <w:r w:rsidR="001223CA">
        <w:rPr>
          <w:rFonts w:cs="Calibri"/>
          <w:b/>
          <w:color w:val="000000"/>
        </w:rPr>
        <w:t>a)</w:t>
      </w:r>
      <w:r w:rsidR="001223CA">
        <w:rPr>
          <w:rFonts w:cs="Calibri"/>
          <w:color w:val="000000"/>
        </w:rPr>
        <w:t xml:space="preserve"> reviewed by the Dot legal department and </w:t>
      </w:r>
      <w:r w:rsidR="001223CA">
        <w:rPr>
          <w:rFonts w:cs="Calibri"/>
          <w:b/>
          <w:color w:val="000000"/>
        </w:rPr>
        <w:t xml:space="preserve">b) </w:t>
      </w:r>
      <w:r w:rsidR="001223CA">
        <w:rPr>
          <w:rFonts w:cs="Calibri"/>
          <w:color w:val="000000"/>
        </w:rPr>
        <w:t xml:space="preserve">approved by the TFF board if the contract commits the organization beyond 24 months or over $25,000. </w:t>
      </w:r>
    </w:p>
    <w:p w14:paraId="00E7254B" w14:textId="77777777" w:rsidR="00200267" w:rsidRDefault="00200267" w:rsidP="00572B08">
      <w:pPr>
        <w:jc w:val="center"/>
        <w:rPr>
          <w:rFonts w:ascii="Calibri" w:hAnsi="Calibri" w:cs="Calibri"/>
          <w:i/>
          <w:iCs/>
          <w:color w:val="000000"/>
          <w:sz w:val="18"/>
          <w:szCs w:val="18"/>
        </w:rPr>
      </w:pPr>
    </w:p>
    <w:p w14:paraId="78B1F795" w14:textId="77777777" w:rsidR="00200267" w:rsidRDefault="00200267" w:rsidP="00572B08">
      <w:pPr>
        <w:jc w:val="center"/>
        <w:rPr>
          <w:rFonts w:ascii="Calibri" w:hAnsi="Calibri" w:cs="Calibri"/>
          <w:i/>
          <w:iCs/>
          <w:color w:val="000000"/>
          <w:sz w:val="18"/>
          <w:szCs w:val="18"/>
        </w:rPr>
      </w:pPr>
    </w:p>
    <w:p w14:paraId="5173CC68" w14:textId="5268E535" w:rsidR="000F3214" w:rsidRPr="000F3214" w:rsidRDefault="000F3214" w:rsidP="00707D92">
      <w:pPr>
        <w:tabs>
          <w:tab w:val="left" w:pos="3216"/>
        </w:tabs>
      </w:pPr>
    </w:p>
    <w:sectPr w:rsidR="000F3214" w:rsidRPr="000F3214" w:rsidSect="00DD36DE">
      <w:footerReference w:type="default" r:id="rId12"/>
      <w:pgSz w:w="12240" w:h="15840"/>
      <w:pgMar w:top="1440" w:right="1440" w:bottom="1440" w:left="1440" w:header="86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1543" w14:textId="77777777" w:rsidR="00526C6B" w:rsidRDefault="00526C6B" w:rsidP="005D0550">
      <w:r>
        <w:separator/>
      </w:r>
    </w:p>
  </w:endnote>
  <w:endnote w:type="continuationSeparator" w:id="0">
    <w:p w14:paraId="2BEE1C14" w14:textId="77777777" w:rsidR="00526C6B" w:rsidRDefault="00526C6B" w:rsidP="005D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YHPV W+ Gotha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035176"/>
      <w:docPartObj>
        <w:docPartGallery w:val="Page Numbers (Bottom of Page)"/>
        <w:docPartUnique/>
      </w:docPartObj>
    </w:sdtPr>
    <w:sdtEndPr>
      <w:rPr>
        <w:noProof/>
      </w:rPr>
    </w:sdtEndPr>
    <w:sdtContent>
      <w:p w14:paraId="1B292BF2" w14:textId="0CE0B4AB" w:rsidR="00CE5C75" w:rsidRDefault="00CE5C7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16BD6AF" w14:textId="77777777" w:rsidR="00CE5C75" w:rsidRDefault="00CE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3B08" w14:textId="77777777" w:rsidR="00526C6B" w:rsidRDefault="00526C6B" w:rsidP="005D0550">
      <w:r>
        <w:separator/>
      </w:r>
    </w:p>
  </w:footnote>
  <w:footnote w:type="continuationSeparator" w:id="0">
    <w:p w14:paraId="3896F77C" w14:textId="77777777" w:rsidR="00526C6B" w:rsidRDefault="00526C6B" w:rsidP="005D0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8B3"/>
    <w:multiLevelType w:val="hybridMultilevel"/>
    <w:tmpl w:val="85CC7A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4828E7"/>
    <w:multiLevelType w:val="hybridMultilevel"/>
    <w:tmpl w:val="D0E21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6928"/>
    <w:multiLevelType w:val="hybridMultilevel"/>
    <w:tmpl w:val="E3A27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21A34"/>
    <w:multiLevelType w:val="hybridMultilevel"/>
    <w:tmpl w:val="75C47292"/>
    <w:lvl w:ilvl="0" w:tplc="9AC04C0A">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D94920"/>
    <w:multiLevelType w:val="hybridMultilevel"/>
    <w:tmpl w:val="4624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1749E"/>
    <w:multiLevelType w:val="hybridMultilevel"/>
    <w:tmpl w:val="FF68C31E"/>
    <w:lvl w:ilvl="0" w:tplc="F9642B7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E5BC1"/>
    <w:multiLevelType w:val="hybridMultilevel"/>
    <w:tmpl w:val="9356E6A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1E55DE"/>
    <w:multiLevelType w:val="hybridMultilevel"/>
    <w:tmpl w:val="D938FB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1B575A"/>
    <w:multiLevelType w:val="hybridMultilevel"/>
    <w:tmpl w:val="E5326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82CE5"/>
    <w:multiLevelType w:val="hybridMultilevel"/>
    <w:tmpl w:val="1D5C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B0435E"/>
    <w:multiLevelType w:val="hybridMultilevel"/>
    <w:tmpl w:val="66E272F4"/>
    <w:lvl w:ilvl="0" w:tplc="8AD472E8">
      <w:start w:val="1"/>
      <w:numFmt w:val="upperLetter"/>
      <w:lvlText w:val="%1."/>
      <w:lvlJc w:val="left"/>
      <w:pPr>
        <w:ind w:left="360" w:hanging="360"/>
      </w:pPr>
      <w:rPr>
        <w:rFonts w:hint="default"/>
        <w:b/>
      </w:rPr>
    </w:lvl>
    <w:lvl w:ilvl="1" w:tplc="04090011">
      <w:start w:val="1"/>
      <w:numFmt w:val="decimal"/>
      <w:lvlText w:val="%2)"/>
      <w:lvlJc w:val="left"/>
      <w:pPr>
        <w:ind w:left="1080" w:hanging="360"/>
      </w:pPr>
    </w:lvl>
    <w:lvl w:ilvl="2" w:tplc="868E8024">
      <w:start w:val="1"/>
      <w:numFmt w:val="lowerRoman"/>
      <w:lvlText w:val="%3."/>
      <w:lvlJc w:val="left"/>
      <w:pPr>
        <w:ind w:left="2340" w:hanging="720"/>
      </w:pPr>
      <w:rPr>
        <w:rFonts w:hint="default"/>
      </w:rPr>
    </w:lvl>
    <w:lvl w:ilvl="3" w:tplc="8004B494">
      <w:start w:val="2"/>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00FB5"/>
    <w:multiLevelType w:val="hybridMultilevel"/>
    <w:tmpl w:val="90BE6F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12" w15:restartNumberingAfterBreak="0">
    <w:nsid w:val="2C5B5510"/>
    <w:multiLevelType w:val="hybridMultilevel"/>
    <w:tmpl w:val="5FDA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A54AB"/>
    <w:multiLevelType w:val="hybridMultilevel"/>
    <w:tmpl w:val="FF3C2AA0"/>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A604DC"/>
    <w:multiLevelType w:val="hybridMultilevel"/>
    <w:tmpl w:val="8FF4192E"/>
    <w:lvl w:ilvl="0" w:tplc="042A14C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E46C0C"/>
    <w:multiLevelType w:val="hybridMultilevel"/>
    <w:tmpl w:val="ACB4E5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F22565"/>
    <w:multiLevelType w:val="hybridMultilevel"/>
    <w:tmpl w:val="756C49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9B6B18"/>
    <w:multiLevelType w:val="hybridMultilevel"/>
    <w:tmpl w:val="94ECA7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307B39"/>
    <w:multiLevelType w:val="hybridMultilevel"/>
    <w:tmpl w:val="1EE22F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2B6A22"/>
    <w:multiLevelType w:val="hybridMultilevel"/>
    <w:tmpl w:val="E35E47B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99180B"/>
    <w:multiLevelType w:val="hybridMultilevel"/>
    <w:tmpl w:val="30324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337B5C"/>
    <w:multiLevelType w:val="hybridMultilevel"/>
    <w:tmpl w:val="90E8A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332C5"/>
    <w:multiLevelType w:val="hybridMultilevel"/>
    <w:tmpl w:val="F358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C4497C"/>
    <w:multiLevelType w:val="hybridMultilevel"/>
    <w:tmpl w:val="B5B8061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061959"/>
    <w:multiLevelType w:val="hybridMultilevel"/>
    <w:tmpl w:val="6266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9317B1"/>
    <w:multiLevelType w:val="hybridMultilevel"/>
    <w:tmpl w:val="F3583508"/>
    <w:lvl w:ilvl="0" w:tplc="C1A2070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DC145E3"/>
    <w:multiLevelType w:val="hybridMultilevel"/>
    <w:tmpl w:val="DE6A0F4E"/>
    <w:lvl w:ilvl="0" w:tplc="4B009B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1965C9D"/>
    <w:multiLevelType w:val="hybridMultilevel"/>
    <w:tmpl w:val="8C2266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2740E43"/>
    <w:multiLevelType w:val="hybridMultilevel"/>
    <w:tmpl w:val="B0BA6FAA"/>
    <w:lvl w:ilvl="0" w:tplc="6C5A2186">
      <w:start w:val="1"/>
      <w:numFmt w:val="decimal"/>
      <w:lvlText w:val="%1)"/>
      <w:lvlJc w:val="left"/>
      <w:pPr>
        <w:ind w:left="162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53F311A"/>
    <w:multiLevelType w:val="hybridMultilevel"/>
    <w:tmpl w:val="9CE6AA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9A207F0"/>
    <w:multiLevelType w:val="hybridMultilevel"/>
    <w:tmpl w:val="22A6C1A4"/>
    <w:lvl w:ilvl="0" w:tplc="04B600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C2F6E"/>
    <w:multiLevelType w:val="hybridMultilevel"/>
    <w:tmpl w:val="59E8B2F8"/>
    <w:lvl w:ilvl="0" w:tplc="09CC1F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4F04D3"/>
    <w:multiLevelType w:val="hybridMultilevel"/>
    <w:tmpl w:val="9E0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839352">
    <w:abstractNumId w:val="8"/>
  </w:num>
  <w:num w:numId="2" w16cid:durableId="64912294">
    <w:abstractNumId w:val="23"/>
  </w:num>
  <w:num w:numId="3" w16cid:durableId="1612199097">
    <w:abstractNumId w:val="1"/>
  </w:num>
  <w:num w:numId="4" w16cid:durableId="1314943623">
    <w:abstractNumId w:val="0"/>
  </w:num>
  <w:num w:numId="5" w16cid:durableId="583497722">
    <w:abstractNumId w:val="7"/>
  </w:num>
  <w:num w:numId="6" w16cid:durableId="1076199051">
    <w:abstractNumId w:val="16"/>
  </w:num>
  <w:num w:numId="7" w16cid:durableId="774599075">
    <w:abstractNumId w:val="32"/>
  </w:num>
  <w:num w:numId="8" w16cid:durableId="1255934898">
    <w:abstractNumId w:val="4"/>
  </w:num>
  <w:num w:numId="9" w16cid:durableId="7587180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0845411">
    <w:abstractNumId w:val="21"/>
  </w:num>
  <w:num w:numId="11" w16cid:durableId="58670453">
    <w:abstractNumId w:val="12"/>
  </w:num>
  <w:num w:numId="12" w16cid:durableId="1346053543">
    <w:abstractNumId w:val="11"/>
  </w:num>
  <w:num w:numId="13" w16cid:durableId="876744594">
    <w:abstractNumId w:val="20"/>
  </w:num>
  <w:num w:numId="14" w16cid:durableId="64307895">
    <w:abstractNumId w:val="13"/>
  </w:num>
  <w:num w:numId="15" w16cid:durableId="1014457938">
    <w:abstractNumId w:val="6"/>
  </w:num>
  <w:num w:numId="16" w16cid:durableId="1556239570">
    <w:abstractNumId w:val="27"/>
  </w:num>
  <w:num w:numId="17" w16cid:durableId="1641377132">
    <w:abstractNumId w:val="17"/>
  </w:num>
  <w:num w:numId="18" w16cid:durableId="193153231">
    <w:abstractNumId w:val="22"/>
  </w:num>
  <w:num w:numId="19" w16cid:durableId="1318461477">
    <w:abstractNumId w:val="9"/>
  </w:num>
  <w:num w:numId="20" w16cid:durableId="1044528564">
    <w:abstractNumId w:val="2"/>
  </w:num>
  <w:num w:numId="21" w16cid:durableId="2051221377">
    <w:abstractNumId w:val="24"/>
  </w:num>
  <w:num w:numId="22" w16cid:durableId="968434763">
    <w:abstractNumId w:val="24"/>
  </w:num>
  <w:num w:numId="23" w16cid:durableId="1064110959">
    <w:abstractNumId w:val="10"/>
  </w:num>
  <w:num w:numId="24" w16cid:durableId="1565986405">
    <w:abstractNumId w:val="30"/>
  </w:num>
  <w:num w:numId="25" w16cid:durableId="2139369798">
    <w:abstractNumId w:val="25"/>
  </w:num>
  <w:num w:numId="26" w16cid:durableId="717316306">
    <w:abstractNumId w:val="3"/>
  </w:num>
  <w:num w:numId="27" w16cid:durableId="281427756">
    <w:abstractNumId w:val="26"/>
  </w:num>
  <w:num w:numId="28" w16cid:durableId="591010476">
    <w:abstractNumId w:val="31"/>
  </w:num>
  <w:num w:numId="29" w16cid:durableId="1199047195">
    <w:abstractNumId w:val="29"/>
  </w:num>
  <w:num w:numId="30" w16cid:durableId="1125123854">
    <w:abstractNumId w:val="14"/>
  </w:num>
  <w:num w:numId="31" w16cid:durableId="1212494793">
    <w:abstractNumId w:val="28"/>
  </w:num>
  <w:num w:numId="32" w16cid:durableId="1954483116">
    <w:abstractNumId w:val="5"/>
  </w:num>
  <w:num w:numId="33" w16cid:durableId="1051853559">
    <w:abstractNumId w:val="18"/>
  </w:num>
  <w:num w:numId="34" w16cid:durableId="201433749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tzQyNTUxMzc2MTJT0lEKTi0uzszPAykwrAUAVoF0+iwAAAA="/>
  </w:docVars>
  <w:rsids>
    <w:rsidRoot w:val="007121B3"/>
    <w:rsid w:val="000010FD"/>
    <w:rsid w:val="0000363A"/>
    <w:rsid w:val="00020669"/>
    <w:rsid w:val="00021FA3"/>
    <w:rsid w:val="0002300E"/>
    <w:rsid w:val="000249C5"/>
    <w:rsid w:val="0003330A"/>
    <w:rsid w:val="000354C7"/>
    <w:rsid w:val="000362DA"/>
    <w:rsid w:val="00037759"/>
    <w:rsid w:val="00042835"/>
    <w:rsid w:val="00043056"/>
    <w:rsid w:val="00055B35"/>
    <w:rsid w:val="00062D81"/>
    <w:rsid w:val="00066102"/>
    <w:rsid w:val="00066501"/>
    <w:rsid w:val="00074C3D"/>
    <w:rsid w:val="0008128A"/>
    <w:rsid w:val="000963E5"/>
    <w:rsid w:val="000A6A13"/>
    <w:rsid w:val="000B0E3B"/>
    <w:rsid w:val="000C1E62"/>
    <w:rsid w:val="000C37CF"/>
    <w:rsid w:val="000C5044"/>
    <w:rsid w:val="000C7D64"/>
    <w:rsid w:val="000D06CA"/>
    <w:rsid w:val="000D290E"/>
    <w:rsid w:val="000D4115"/>
    <w:rsid w:val="000D5F6A"/>
    <w:rsid w:val="000D676E"/>
    <w:rsid w:val="000E2CFC"/>
    <w:rsid w:val="000E4ECC"/>
    <w:rsid w:val="000E6F6F"/>
    <w:rsid w:val="000F3214"/>
    <w:rsid w:val="000F5EB0"/>
    <w:rsid w:val="001014F4"/>
    <w:rsid w:val="0011559F"/>
    <w:rsid w:val="0011768C"/>
    <w:rsid w:val="001223CA"/>
    <w:rsid w:val="00122EF8"/>
    <w:rsid w:val="00123499"/>
    <w:rsid w:val="001256B8"/>
    <w:rsid w:val="00150768"/>
    <w:rsid w:val="00153A19"/>
    <w:rsid w:val="00184E8D"/>
    <w:rsid w:val="00192F22"/>
    <w:rsid w:val="001A54C2"/>
    <w:rsid w:val="001B6925"/>
    <w:rsid w:val="001C2285"/>
    <w:rsid w:val="001C67B5"/>
    <w:rsid w:val="001D2EA4"/>
    <w:rsid w:val="001D591F"/>
    <w:rsid w:val="001D6691"/>
    <w:rsid w:val="001D7098"/>
    <w:rsid w:val="001F3363"/>
    <w:rsid w:val="00200267"/>
    <w:rsid w:val="00201034"/>
    <w:rsid w:val="00210C18"/>
    <w:rsid w:val="002166B8"/>
    <w:rsid w:val="0022160D"/>
    <w:rsid w:val="002228E3"/>
    <w:rsid w:val="00225C9C"/>
    <w:rsid w:val="00242CC9"/>
    <w:rsid w:val="00242F7B"/>
    <w:rsid w:val="00246AFD"/>
    <w:rsid w:val="00250718"/>
    <w:rsid w:val="00251C18"/>
    <w:rsid w:val="00252E40"/>
    <w:rsid w:val="002553BE"/>
    <w:rsid w:val="00255939"/>
    <w:rsid w:val="00257BD1"/>
    <w:rsid w:val="00264715"/>
    <w:rsid w:val="00270776"/>
    <w:rsid w:val="0027128E"/>
    <w:rsid w:val="0027252B"/>
    <w:rsid w:val="0028263C"/>
    <w:rsid w:val="00285478"/>
    <w:rsid w:val="002856D7"/>
    <w:rsid w:val="002865EE"/>
    <w:rsid w:val="00287E1B"/>
    <w:rsid w:val="002B144B"/>
    <w:rsid w:val="002B77EB"/>
    <w:rsid w:val="002C474E"/>
    <w:rsid w:val="002D149E"/>
    <w:rsid w:val="002D1528"/>
    <w:rsid w:val="002D2A20"/>
    <w:rsid w:val="002E053A"/>
    <w:rsid w:val="002E1A06"/>
    <w:rsid w:val="002E7B48"/>
    <w:rsid w:val="002F4ACE"/>
    <w:rsid w:val="002F4FE9"/>
    <w:rsid w:val="002F65BB"/>
    <w:rsid w:val="00313B0F"/>
    <w:rsid w:val="00314D73"/>
    <w:rsid w:val="00340335"/>
    <w:rsid w:val="00355ADE"/>
    <w:rsid w:val="00362BFB"/>
    <w:rsid w:val="0036602A"/>
    <w:rsid w:val="00366487"/>
    <w:rsid w:val="003676AF"/>
    <w:rsid w:val="00367F09"/>
    <w:rsid w:val="00373D06"/>
    <w:rsid w:val="0038341E"/>
    <w:rsid w:val="0038523A"/>
    <w:rsid w:val="0039244B"/>
    <w:rsid w:val="00394AD5"/>
    <w:rsid w:val="003B0865"/>
    <w:rsid w:val="003B3918"/>
    <w:rsid w:val="003B4DF7"/>
    <w:rsid w:val="003D0457"/>
    <w:rsid w:val="003D4F9A"/>
    <w:rsid w:val="003E0F76"/>
    <w:rsid w:val="003E2076"/>
    <w:rsid w:val="003E486E"/>
    <w:rsid w:val="003E4D78"/>
    <w:rsid w:val="003E65E8"/>
    <w:rsid w:val="003E7AC5"/>
    <w:rsid w:val="003F5678"/>
    <w:rsid w:val="00407D1C"/>
    <w:rsid w:val="00407F0D"/>
    <w:rsid w:val="004105BC"/>
    <w:rsid w:val="004146E2"/>
    <w:rsid w:val="00417895"/>
    <w:rsid w:val="0042140D"/>
    <w:rsid w:val="0042404B"/>
    <w:rsid w:val="0044006D"/>
    <w:rsid w:val="004405BA"/>
    <w:rsid w:val="00443B23"/>
    <w:rsid w:val="00444601"/>
    <w:rsid w:val="004461B7"/>
    <w:rsid w:val="00453EA5"/>
    <w:rsid w:val="004627E5"/>
    <w:rsid w:val="00466DE8"/>
    <w:rsid w:val="00470CA8"/>
    <w:rsid w:val="00472226"/>
    <w:rsid w:val="0047729E"/>
    <w:rsid w:val="0049263D"/>
    <w:rsid w:val="004A2825"/>
    <w:rsid w:val="004A7CAD"/>
    <w:rsid w:val="004B06C8"/>
    <w:rsid w:val="004B1DEC"/>
    <w:rsid w:val="004C3D0A"/>
    <w:rsid w:val="004D0416"/>
    <w:rsid w:val="004D7BC5"/>
    <w:rsid w:val="004E66EF"/>
    <w:rsid w:val="004E7889"/>
    <w:rsid w:val="004F5ABF"/>
    <w:rsid w:val="004F61DA"/>
    <w:rsid w:val="0051567C"/>
    <w:rsid w:val="00521302"/>
    <w:rsid w:val="00526C6B"/>
    <w:rsid w:val="00535187"/>
    <w:rsid w:val="005364D6"/>
    <w:rsid w:val="0054613F"/>
    <w:rsid w:val="005510D3"/>
    <w:rsid w:val="005565E8"/>
    <w:rsid w:val="005615E0"/>
    <w:rsid w:val="0057044A"/>
    <w:rsid w:val="00572B08"/>
    <w:rsid w:val="00574EA0"/>
    <w:rsid w:val="005775D3"/>
    <w:rsid w:val="005821AB"/>
    <w:rsid w:val="00590FD3"/>
    <w:rsid w:val="005944FD"/>
    <w:rsid w:val="00595D48"/>
    <w:rsid w:val="005964FF"/>
    <w:rsid w:val="005A22A0"/>
    <w:rsid w:val="005A5C43"/>
    <w:rsid w:val="005B3686"/>
    <w:rsid w:val="005D0550"/>
    <w:rsid w:val="005D28C6"/>
    <w:rsid w:val="005D2B8D"/>
    <w:rsid w:val="005D545A"/>
    <w:rsid w:val="005D5509"/>
    <w:rsid w:val="005D68D8"/>
    <w:rsid w:val="005D6B26"/>
    <w:rsid w:val="005F1AC8"/>
    <w:rsid w:val="0060646A"/>
    <w:rsid w:val="0060771A"/>
    <w:rsid w:val="006118EB"/>
    <w:rsid w:val="00612FAF"/>
    <w:rsid w:val="00620F7B"/>
    <w:rsid w:val="00621676"/>
    <w:rsid w:val="00637890"/>
    <w:rsid w:val="00640DCC"/>
    <w:rsid w:val="00643AA7"/>
    <w:rsid w:val="006540A7"/>
    <w:rsid w:val="0065434E"/>
    <w:rsid w:val="006567F8"/>
    <w:rsid w:val="006628F2"/>
    <w:rsid w:val="00662A5E"/>
    <w:rsid w:val="0066487C"/>
    <w:rsid w:val="0068270E"/>
    <w:rsid w:val="006A7D4A"/>
    <w:rsid w:val="006B1974"/>
    <w:rsid w:val="006B447C"/>
    <w:rsid w:val="006B53F3"/>
    <w:rsid w:val="006B7CC9"/>
    <w:rsid w:val="006D0D0C"/>
    <w:rsid w:val="006D2742"/>
    <w:rsid w:val="007003DB"/>
    <w:rsid w:val="00702330"/>
    <w:rsid w:val="00703070"/>
    <w:rsid w:val="00704915"/>
    <w:rsid w:val="00707D92"/>
    <w:rsid w:val="0071138D"/>
    <w:rsid w:val="007121B3"/>
    <w:rsid w:val="00714076"/>
    <w:rsid w:val="00715656"/>
    <w:rsid w:val="0072065D"/>
    <w:rsid w:val="00722DFC"/>
    <w:rsid w:val="00725BD2"/>
    <w:rsid w:val="00725C19"/>
    <w:rsid w:val="00727C88"/>
    <w:rsid w:val="007359E6"/>
    <w:rsid w:val="00737936"/>
    <w:rsid w:val="00743C18"/>
    <w:rsid w:val="007526D4"/>
    <w:rsid w:val="00755B21"/>
    <w:rsid w:val="00762343"/>
    <w:rsid w:val="007651D2"/>
    <w:rsid w:val="007712F3"/>
    <w:rsid w:val="00775F93"/>
    <w:rsid w:val="0077694E"/>
    <w:rsid w:val="007840F4"/>
    <w:rsid w:val="0079458F"/>
    <w:rsid w:val="0079757D"/>
    <w:rsid w:val="007A1DA1"/>
    <w:rsid w:val="007A3E53"/>
    <w:rsid w:val="007B3965"/>
    <w:rsid w:val="007B4DC0"/>
    <w:rsid w:val="007B78C1"/>
    <w:rsid w:val="007C121A"/>
    <w:rsid w:val="007D0E55"/>
    <w:rsid w:val="007D1FA1"/>
    <w:rsid w:val="007D7CFF"/>
    <w:rsid w:val="007E2777"/>
    <w:rsid w:val="007E449A"/>
    <w:rsid w:val="007F0080"/>
    <w:rsid w:val="007F2B0F"/>
    <w:rsid w:val="007F5F07"/>
    <w:rsid w:val="00803644"/>
    <w:rsid w:val="00803E61"/>
    <w:rsid w:val="00804E33"/>
    <w:rsid w:val="008109DE"/>
    <w:rsid w:val="008113E2"/>
    <w:rsid w:val="008126DF"/>
    <w:rsid w:val="008205BB"/>
    <w:rsid w:val="008279F4"/>
    <w:rsid w:val="00834103"/>
    <w:rsid w:val="00836B74"/>
    <w:rsid w:val="008441C8"/>
    <w:rsid w:val="00845A52"/>
    <w:rsid w:val="00857C1B"/>
    <w:rsid w:val="00866330"/>
    <w:rsid w:val="00871A13"/>
    <w:rsid w:val="008758CB"/>
    <w:rsid w:val="00875A09"/>
    <w:rsid w:val="00877303"/>
    <w:rsid w:val="008866E4"/>
    <w:rsid w:val="00893675"/>
    <w:rsid w:val="00893947"/>
    <w:rsid w:val="008943DA"/>
    <w:rsid w:val="00896432"/>
    <w:rsid w:val="008A3967"/>
    <w:rsid w:val="008B0687"/>
    <w:rsid w:val="008B59D4"/>
    <w:rsid w:val="008B73B6"/>
    <w:rsid w:val="008C7EFE"/>
    <w:rsid w:val="008D3434"/>
    <w:rsid w:val="008D471D"/>
    <w:rsid w:val="008D682A"/>
    <w:rsid w:val="008E1F26"/>
    <w:rsid w:val="008E407A"/>
    <w:rsid w:val="008F13BD"/>
    <w:rsid w:val="008F6E31"/>
    <w:rsid w:val="00912662"/>
    <w:rsid w:val="00924307"/>
    <w:rsid w:val="009244C1"/>
    <w:rsid w:val="00926190"/>
    <w:rsid w:val="00932165"/>
    <w:rsid w:val="00945F9D"/>
    <w:rsid w:val="00951426"/>
    <w:rsid w:val="009578BD"/>
    <w:rsid w:val="0097069C"/>
    <w:rsid w:val="00972D7D"/>
    <w:rsid w:val="00974C11"/>
    <w:rsid w:val="009A0E32"/>
    <w:rsid w:val="009A245A"/>
    <w:rsid w:val="009A4EEF"/>
    <w:rsid w:val="009A507B"/>
    <w:rsid w:val="009A7749"/>
    <w:rsid w:val="009B20E5"/>
    <w:rsid w:val="009E23D7"/>
    <w:rsid w:val="009E64F6"/>
    <w:rsid w:val="009F0B25"/>
    <w:rsid w:val="00A05A5C"/>
    <w:rsid w:val="00A1291D"/>
    <w:rsid w:val="00A14821"/>
    <w:rsid w:val="00A22BE5"/>
    <w:rsid w:val="00A240B1"/>
    <w:rsid w:val="00A27CB5"/>
    <w:rsid w:val="00A31C4E"/>
    <w:rsid w:val="00A47719"/>
    <w:rsid w:val="00A61F5B"/>
    <w:rsid w:val="00A639B6"/>
    <w:rsid w:val="00A97836"/>
    <w:rsid w:val="00AB48EA"/>
    <w:rsid w:val="00AB61DD"/>
    <w:rsid w:val="00AC0CE9"/>
    <w:rsid w:val="00AC4B9F"/>
    <w:rsid w:val="00AC528E"/>
    <w:rsid w:val="00AC5F17"/>
    <w:rsid w:val="00AC697B"/>
    <w:rsid w:val="00AD1729"/>
    <w:rsid w:val="00AD5036"/>
    <w:rsid w:val="00AF543F"/>
    <w:rsid w:val="00B12CBA"/>
    <w:rsid w:val="00B14759"/>
    <w:rsid w:val="00B16EA2"/>
    <w:rsid w:val="00B274E1"/>
    <w:rsid w:val="00B3195E"/>
    <w:rsid w:val="00B33936"/>
    <w:rsid w:val="00B349BF"/>
    <w:rsid w:val="00B367B2"/>
    <w:rsid w:val="00B44B67"/>
    <w:rsid w:val="00B45019"/>
    <w:rsid w:val="00B46152"/>
    <w:rsid w:val="00B534BB"/>
    <w:rsid w:val="00B67CB9"/>
    <w:rsid w:val="00B70A91"/>
    <w:rsid w:val="00B83DC7"/>
    <w:rsid w:val="00BB5A87"/>
    <w:rsid w:val="00BB71B6"/>
    <w:rsid w:val="00BD77ED"/>
    <w:rsid w:val="00BE7EF7"/>
    <w:rsid w:val="00BF0394"/>
    <w:rsid w:val="00BF54F1"/>
    <w:rsid w:val="00C00BB1"/>
    <w:rsid w:val="00C154FA"/>
    <w:rsid w:val="00C21B0E"/>
    <w:rsid w:val="00C22415"/>
    <w:rsid w:val="00C27F76"/>
    <w:rsid w:val="00C37463"/>
    <w:rsid w:val="00C42ABA"/>
    <w:rsid w:val="00C45574"/>
    <w:rsid w:val="00C57343"/>
    <w:rsid w:val="00C57663"/>
    <w:rsid w:val="00C6348D"/>
    <w:rsid w:val="00C650E5"/>
    <w:rsid w:val="00C656B6"/>
    <w:rsid w:val="00C802DB"/>
    <w:rsid w:val="00C81619"/>
    <w:rsid w:val="00C81B30"/>
    <w:rsid w:val="00CA1D8D"/>
    <w:rsid w:val="00CA39B9"/>
    <w:rsid w:val="00CB0632"/>
    <w:rsid w:val="00CB279A"/>
    <w:rsid w:val="00CB344E"/>
    <w:rsid w:val="00CB60A6"/>
    <w:rsid w:val="00CC530B"/>
    <w:rsid w:val="00CD183E"/>
    <w:rsid w:val="00CD3132"/>
    <w:rsid w:val="00CD53BA"/>
    <w:rsid w:val="00CD56D4"/>
    <w:rsid w:val="00CE2B1D"/>
    <w:rsid w:val="00CE5C75"/>
    <w:rsid w:val="00CF04B0"/>
    <w:rsid w:val="00CF4CFE"/>
    <w:rsid w:val="00CF6DE1"/>
    <w:rsid w:val="00CF7552"/>
    <w:rsid w:val="00D10A69"/>
    <w:rsid w:val="00D13C83"/>
    <w:rsid w:val="00D252A3"/>
    <w:rsid w:val="00D2674A"/>
    <w:rsid w:val="00D32B72"/>
    <w:rsid w:val="00D36FB7"/>
    <w:rsid w:val="00D435EA"/>
    <w:rsid w:val="00D516F8"/>
    <w:rsid w:val="00D655C8"/>
    <w:rsid w:val="00D70DF1"/>
    <w:rsid w:val="00D70E43"/>
    <w:rsid w:val="00D7243C"/>
    <w:rsid w:val="00D73075"/>
    <w:rsid w:val="00D7337E"/>
    <w:rsid w:val="00D74A0C"/>
    <w:rsid w:val="00D8573D"/>
    <w:rsid w:val="00D97016"/>
    <w:rsid w:val="00DA0EFC"/>
    <w:rsid w:val="00DB13B6"/>
    <w:rsid w:val="00DB21FF"/>
    <w:rsid w:val="00DC5C8E"/>
    <w:rsid w:val="00DC621F"/>
    <w:rsid w:val="00DC68BA"/>
    <w:rsid w:val="00DD2A55"/>
    <w:rsid w:val="00DD3500"/>
    <w:rsid w:val="00DD36DE"/>
    <w:rsid w:val="00DD373F"/>
    <w:rsid w:val="00DD6694"/>
    <w:rsid w:val="00DE3FF9"/>
    <w:rsid w:val="00DE50FE"/>
    <w:rsid w:val="00DF3A15"/>
    <w:rsid w:val="00DF7E04"/>
    <w:rsid w:val="00E01552"/>
    <w:rsid w:val="00E07993"/>
    <w:rsid w:val="00E107AF"/>
    <w:rsid w:val="00E1498A"/>
    <w:rsid w:val="00E16850"/>
    <w:rsid w:val="00E27692"/>
    <w:rsid w:val="00E3061F"/>
    <w:rsid w:val="00E31EAE"/>
    <w:rsid w:val="00E35210"/>
    <w:rsid w:val="00E36F37"/>
    <w:rsid w:val="00E40997"/>
    <w:rsid w:val="00E40DBE"/>
    <w:rsid w:val="00E50094"/>
    <w:rsid w:val="00E52855"/>
    <w:rsid w:val="00E52FD3"/>
    <w:rsid w:val="00E579BB"/>
    <w:rsid w:val="00E625B6"/>
    <w:rsid w:val="00E67F94"/>
    <w:rsid w:val="00E71B6C"/>
    <w:rsid w:val="00E72C5B"/>
    <w:rsid w:val="00E763A9"/>
    <w:rsid w:val="00E81554"/>
    <w:rsid w:val="00E82115"/>
    <w:rsid w:val="00E83877"/>
    <w:rsid w:val="00E848DE"/>
    <w:rsid w:val="00E8553E"/>
    <w:rsid w:val="00E92C68"/>
    <w:rsid w:val="00EA0258"/>
    <w:rsid w:val="00EA1C1D"/>
    <w:rsid w:val="00EA76C7"/>
    <w:rsid w:val="00EB0BAB"/>
    <w:rsid w:val="00EB378F"/>
    <w:rsid w:val="00EB79DC"/>
    <w:rsid w:val="00EC3EF2"/>
    <w:rsid w:val="00ED0360"/>
    <w:rsid w:val="00ED1092"/>
    <w:rsid w:val="00ED1A79"/>
    <w:rsid w:val="00ED1BFB"/>
    <w:rsid w:val="00ED4405"/>
    <w:rsid w:val="00ED5813"/>
    <w:rsid w:val="00EE5E54"/>
    <w:rsid w:val="00EF1308"/>
    <w:rsid w:val="00EF3214"/>
    <w:rsid w:val="00EF5D8B"/>
    <w:rsid w:val="00F00769"/>
    <w:rsid w:val="00F14667"/>
    <w:rsid w:val="00F25F9E"/>
    <w:rsid w:val="00F3735C"/>
    <w:rsid w:val="00F44CCB"/>
    <w:rsid w:val="00F45410"/>
    <w:rsid w:val="00F52963"/>
    <w:rsid w:val="00F667C1"/>
    <w:rsid w:val="00F707D7"/>
    <w:rsid w:val="00F728A2"/>
    <w:rsid w:val="00F73E4B"/>
    <w:rsid w:val="00F74D6B"/>
    <w:rsid w:val="00F760F3"/>
    <w:rsid w:val="00F838E8"/>
    <w:rsid w:val="00F901A4"/>
    <w:rsid w:val="00F957CA"/>
    <w:rsid w:val="00FB1053"/>
    <w:rsid w:val="00FB1F04"/>
    <w:rsid w:val="00FB2C10"/>
    <w:rsid w:val="00FB6443"/>
    <w:rsid w:val="00FB74D8"/>
    <w:rsid w:val="00FB7DCE"/>
    <w:rsid w:val="00FC1BBB"/>
    <w:rsid w:val="00FC26D5"/>
    <w:rsid w:val="00FE34CD"/>
    <w:rsid w:val="00FE36E3"/>
    <w:rsid w:val="00FF240F"/>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CA3ACE"/>
  <w15:chartTrackingRefBased/>
  <w15:docId w15:val="{4C70662A-ACFA-40B9-A05A-1AC88DEB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550"/>
    <w:pPr>
      <w:keepNext/>
      <w:outlineLvl w:val="0"/>
    </w:pPr>
    <w:rPr>
      <w:b/>
      <w:bCs/>
      <w:u w:val="single"/>
    </w:rPr>
  </w:style>
  <w:style w:type="paragraph" w:styleId="Heading4">
    <w:name w:val="heading 4"/>
    <w:basedOn w:val="Normal"/>
    <w:next w:val="Normal"/>
    <w:link w:val="Heading4Char"/>
    <w:qFormat/>
    <w:rsid w:val="005D0550"/>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21B3"/>
    <w:pPr>
      <w:spacing w:after="0" w:line="240" w:lineRule="auto"/>
    </w:pPr>
  </w:style>
  <w:style w:type="table" w:styleId="TableGrid">
    <w:name w:val="Table Grid"/>
    <w:basedOn w:val="TableNormal"/>
    <w:uiPriority w:val="39"/>
    <w:rsid w:val="000E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C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12CBA"/>
    <w:rPr>
      <w:rFonts w:ascii="Segoe UI" w:hAnsi="Segoe UI" w:cs="Segoe UI"/>
      <w:sz w:val="18"/>
      <w:szCs w:val="18"/>
    </w:rPr>
  </w:style>
  <w:style w:type="paragraph" w:styleId="Title">
    <w:name w:val="Title"/>
    <w:basedOn w:val="Normal"/>
    <w:link w:val="TitleChar"/>
    <w:qFormat/>
    <w:rsid w:val="0003330A"/>
    <w:pPr>
      <w:jc w:val="center"/>
    </w:pPr>
    <w:rPr>
      <w:rFonts w:ascii="Comic Sans MS" w:hAnsi="Comic Sans MS"/>
      <w:b/>
      <w:bCs/>
      <w:sz w:val="32"/>
      <w:u w:val="single"/>
    </w:rPr>
  </w:style>
  <w:style w:type="character" w:customStyle="1" w:styleId="TitleChar">
    <w:name w:val="Title Char"/>
    <w:basedOn w:val="DefaultParagraphFont"/>
    <w:link w:val="Title"/>
    <w:rsid w:val="0003330A"/>
    <w:rPr>
      <w:rFonts w:ascii="Comic Sans MS" w:eastAsia="Times New Roman" w:hAnsi="Comic Sans MS" w:cs="Times New Roman"/>
      <w:b/>
      <w:bCs/>
      <w:sz w:val="32"/>
      <w:szCs w:val="24"/>
      <w:u w:val="single"/>
    </w:rPr>
  </w:style>
  <w:style w:type="paragraph" w:styleId="BodyTextIndent2">
    <w:name w:val="Body Text Indent 2"/>
    <w:basedOn w:val="Normal"/>
    <w:link w:val="BodyTextIndent2Char"/>
    <w:semiHidden/>
    <w:rsid w:val="0003330A"/>
    <w:pPr>
      <w:ind w:left="360"/>
    </w:pPr>
    <w:rPr>
      <w:rFonts w:ascii="Comic Sans MS" w:hAnsi="Comic Sans MS"/>
    </w:rPr>
  </w:style>
  <w:style w:type="character" w:customStyle="1" w:styleId="BodyTextIndent2Char">
    <w:name w:val="Body Text Indent 2 Char"/>
    <w:basedOn w:val="DefaultParagraphFont"/>
    <w:link w:val="BodyTextIndent2"/>
    <w:semiHidden/>
    <w:rsid w:val="0003330A"/>
    <w:rPr>
      <w:rFonts w:ascii="Comic Sans MS" w:eastAsia="Times New Roman" w:hAnsi="Comic Sans MS" w:cs="Times New Roman"/>
      <w:sz w:val="24"/>
      <w:szCs w:val="24"/>
    </w:rPr>
  </w:style>
  <w:style w:type="paragraph" w:styleId="ListParagraph">
    <w:name w:val="List Paragraph"/>
    <w:basedOn w:val="Normal"/>
    <w:uiPriority w:val="34"/>
    <w:qFormat/>
    <w:rsid w:val="0003330A"/>
    <w:pPr>
      <w:ind w:left="720"/>
    </w:pPr>
  </w:style>
  <w:style w:type="character" w:styleId="CommentReference">
    <w:name w:val="annotation reference"/>
    <w:basedOn w:val="DefaultParagraphFont"/>
    <w:uiPriority w:val="99"/>
    <w:semiHidden/>
    <w:unhideWhenUsed/>
    <w:rsid w:val="00021FA3"/>
    <w:rPr>
      <w:sz w:val="16"/>
      <w:szCs w:val="16"/>
    </w:rPr>
  </w:style>
  <w:style w:type="paragraph" w:styleId="CommentText">
    <w:name w:val="annotation text"/>
    <w:basedOn w:val="Normal"/>
    <w:link w:val="CommentTextChar"/>
    <w:uiPriority w:val="99"/>
    <w:semiHidden/>
    <w:unhideWhenUsed/>
    <w:rsid w:val="00021FA3"/>
    <w:rPr>
      <w:sz w:val="20"/>
      <w:szCs w:val="20"/>
    </w:rPr>
  </w:style>
  <w:style w:type="character" w:customStyle="1" w:styleId="CommentTextChar">
    <w:name w:val="Comment Text Char"/>
    <w:basedOn w:val="DefaultParagraphFont"/>
    <w:link w:val="CommentText"/>
    <w:uiPriority w:val="99"/>
    <w:semiHidden/>
    <w:rsid w:val="00021FA3"/>
    <w:rPr>
      <w:sz w:val="20"/>
      <w:szCs w:val="20"/>
    </w:rPr>
  </w:style>
  <w:style w:type="paragraph" w:styleId="CommentSubject">
    <w:name w:val="annotation subject"/>
    <w:basedOn w:val="CommentText"/>
    <w:next w:val="CommentText"/>
    <w:link w:val="CommentSubjectChar"/>
    <w:uiPriority w:val="99"/>
    <w:semiHidden/>
    <w:unhideWhenUsed/>
    <w:rsid w:val="00021FA3"/>
    <w:rPr>
      <w:b/>
      <w:bCs/>
    </w:rPr>
  </w:style>
  <w:style w:type="character" w:customStyle="1" w:styleId="CommentSubjectChar">
    <w:name w:val="Comment Subject Char"/>
    <w:basedOn w:val="CommentTextChar"/>
    <w:link w:val="CommentSubject"/>
    <w:uiPriority w:val="99"/>
    <w:semiHidden/>
    <w:rsid w:val="00021FA3"/>
    <w:rPr>
      <w:b/>
      <w:bCs/>
      <w:sz w:val="20"/>
      <w:szCs w:val="20"/>
    </w:rPr>
  </w:style>
  <w:style w:type="character" w:customStyle="1" w:styleId="googqs-tidbit">
    <w:name w:val="goog_qs-tidbit"/>
    <w:basedOn w:val="DefaultParagraphFont"/>
    <w:rsid w:val="00EC3EF2"/>
  </w:style>
  <w:style w:type="paragraph" w:styleId="Revision">
    <w:name w:val="Revision"/>
    <w:hidden/>
    <w:uiPriority w:val="99"/>
    <w:semiHidden/>
    <w:rsid w:val="00153A19"/>
    <w:pPr>
      <w:spacing w:after="0" w:line="240" w:lineRule="auto"/>
    </w:pPr>
  </w:style>
  <w:style w:type="paragraph" w:styleId="Header">
    <w:name w:val="header"/>
    <w:basedOn w:val="Normal"/>
    <w:link w:val="HeaderChar"/>
    <w:uiPriority w:val="99"/>
    <w:unhideWhenUsed/>
    <w:rsid w:val="005D055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0550"/>
  </w:style>
  <w:style w:type="paragraph" w:styleId="Footer">
    <w:name w:val="footer"/>
    <w:basedOn w:val="Normal"/>
    <w:link w:val="FooterChar"/>
    <w:uiPriority w:val="99"/>
    <w:unhideWhenUsed/>
    <w:rsid w:val="005D055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0550"/>
  </w:style>
  <w:style w:type="paragraph" w:styleId="BodyText">
    <w:name w:val="Body Text"/>
    <w:basedOn w:val="Normal"/>
    <w:link w:val="BodyTextChar"/>
    <w:uiPriority w:val="99"/>
    <w:semiHidden/>
    <w:unhideWhenUsed/>
    <w:rsid w:val="005D0550"/>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5D0550"/>
  </w:style>
  <w:style w:type="character" w:customStyle="1" w:styleId="Heading1Char">
    <w:name w:val="Heading 1 Char"/>
    <w:basedOn w:val="DefaultParagraphFont"/>
    <w:link w:val="Heading1"/>
    <w:rsid w:val="005D0550"/>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5D0550"/>
    <w:rPr>
      <w:rFonts w:ascii="Times New Roman" w:eastAsia="Times New Roman" w:hAnsi="Times New Roman" w:cs="Times New Roman"/>
      <w:b/>
      <w:bCs/>
      <w:szCs w:val="24"/>
    </w:rPr>
  </w:style>
  <w:style w:type="character" w:styleId="Hyperlink">
    <w:name w:val="Hyperlink"/>
    <w:semiHidden/>
    <w:rsid w:val="005D0550"/>
    <w:rPr>
      <w:color w:val="0000FF"/>
      <w:u w:val="single"/>
    </w:rPr>
  </w:style>
  <w:style w:type="character" w:customStyle="1" w:styleId="A3">
    <w:name w:val="A3"/>
    <w:uiPriority w:val="99"/>
    <w:rsid w:val="00D32B72"/>
    <w:rPr>
      <w:rFonts w:cs="FYHPV W+ Gotham"/>
      <w:color w:val="000000"/>
      <w:sz w:val="18"/>
      <w:szCs w:val="18"/>
    </w:rPr>
  </w:style>
  <w:style w:type="paragraph" w:styleId="FootnoteText">
    <w:name w:val="footnote text"/>
    <w:basedOn w:val="Normal"/>
    <w:link w:val="FootnoteTextChar"/>
    <w:uiPriority w:val="99"/>
    <w:semiHidden/>
    <w:unhideWhenUsed/>
    <w:rsid w:val="0072065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065D"/>
    <w:rPr>
      <w:rFonts w:eastAsiaTheme="minorEastAsia"/>
      <w:sz w:val="20"/>
      <w:szCs w:val="20"/>
    </w:rPr>
  </w:style>
  <w:style w:type="character" w:styleId="FootnoteReference">
    <w:name w:val="footnote reference"/>
    <w:basedOn w:val="DefaultParagraphFont"/>
    <w:uiPriority w:val="99"/>
    <w:semiHidden/>
    <w:unhideWhenUsed/>
    <w:rsid w:val="0072065D"/>
    <w:rPr>
      <w:vertAlign w:val="superscript"/>
    </w:rPr>
  </w:style>
  <w:style w:type="character" w:customStyle="1" w:styleId="NoSpacingChar">
    <w:name w:val="No Spacing Char"/>
    <w:link w:val="NoSpacing"/>
    <w:uiPriority w:val="1"/>
    <w:rsid w:val="0012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346">
      <w:bodyDiv w:val="1"/>
      <w:marLeft w:val="0"/>
      <w:marRight w:val="0"/>
      <w:marTop w:val="0"/>
      <w:marBottom w:val="0"/>
      <w:divBdr>
        <w:top w:val="none" w:sz="0" w:space="0" w:color="auto"/>
        <w:left w:val="none" w:sz="0" w:space="0" w:color="auto"/>
        <w:bottom w:val="none" w:sz="0" w:space="0" w:color="auto"/>
        <w:right w:val="none" w:sz="0" w:space="0" w:color="auto"/>
      </w:divBdr>
    </w:div>
    <w:div w:id="223488042">
      <w:bodyDiv w:val="1"/>
      <w:marLeft w:val="0"/>
      <w:marRight w:val="0"/>
      <w:marTop w:val="0"/>
      <w:marBottom w:val="0"/>
      <w:divBdr>
        <w:top w:val="none" w:sz="0" w:space="0" w:color="auto"/>
        <w:left w:val="none" w:sz="0" w:space="0" w:color="auto"/>
        <w:bottom w:val="none" w:sz="0" w:space="0" w:color="auto"/>
        <w:right w:val="none" w:sz="0" w:space="0" w:color="auto"/>
      </w:divBdr>
    </w:div>
    <w:div w:id="301425404">
      <w:bodyDiv w:val="1"/>
      <w:marLeft w:val="0"/>
      <w:marRight w:val="0"/>
      <w:marTop w:val="0"/>
      <w:marBottom w:val="0"/>
      <w:divBdr>
        <w:top w:val="none" w:sz="0" w:space="0" w:color="auto"/>
        <w:left w:val="none" w:sz="0" w:space="0" w:color="auto"/>
        <w:bottom w:val="none" w:sz="0" w:space="0" w:color="auto"/>
        <w:right w:val="none" w:sz="0" w:space="0" w:color="auto"/>
      </w:divBdr>
    </w:div>
    <w:div w:id="458301049">
      <w:bodyDiv w:val="1"/>
      <w:marLeft w:val="0"/>
      <w:marRight w:val="0"/>
      <w:marTop w:val="0"/>
      <w:marBottom w:val="0"/>
      <w:divBdr>
        <w:top w:val="none" w:sz="0" w:space="0" w:color="auto"/>
        <w:left w:val="none" w:sz="0" w:space="0" w:color="auto"/>
        <w:bottom w:val="none" w:sz="0" w:space="0" w:color="auto"/>
        <w:right w:val="none" w:sz="0" w:space="0" w:color="auto"/>
      </w:divBdr>
    </w:div>
    <w:div w:id="569847615">
      <w:bodyDiv w:val="1"/>
      <w:marLeft w:val="0"/>
      <w:marRight w:val="0"/>
      <w:marTop w:val="0"/>
      <w:marBottom w:val="0"/>
      <w:divBdr>
        <w:top w:val="none" w:sz="0" w:space="0" w:color="auto"/>
        <w:left w:val="none" w:sz="0" w:space="0" w:color="auto"/>
        <w:bottom w:val="none" w:sz="0" w:space="0" w:color="auto"/>
        <w:right w:val="none" w:sz="0" w:space="0" w:color="auto"/>
      </w:divBdr>
    </w:div>
    <w:div w:id="769592594">
      <w:bodyDiv w:val="1"/>
      <w:marLeft w:val="0"/>
      <w:marRight w:val="0"/>
      <w:marTop w:val="0"/>
      <w:marBottom w:val="0"/>
      <w:divBdr>
        <w:top w:val="none" w:sz="0" w:space="0" w:color="auto"/>
        <w:left w:val="none" w:sz="0" w:space="0" w:color="auto"/>
        <w:bottom w:val="none" w:sz="0" w:space="0" w:color="auto"/>
        <w:right w:val="none" w:sz="0" w:space="0" w:color="auto"/>
      </w:divBdr>
    </w:div>
    <w:div w:id="845435807">
      <w:bodyDiv w:val="1"/>
      <w:marLeft w:val="0"/>
      <w:marRight w:val="0"/>
      <w:marTop w:val="0"/>
      <w:marBottom w:val="0"/>
      <w:divBdr>
        <w:top w:val="none" w:sz="0" w:space="0" w:color="auto"/>
        <w:left w:val="none" w:sz="0" w:space="0" w:color="auto"/>
        <w:bottom w:val="none" w:sz="0" w:space="0" w:color="auto"/>
        <w:right w:val="none" w:sz="0" w:space="0" w:color="auto"/>
      </w:divBdr>
    </w:div>
    <w:div w:id="1046758567">
      <w:bodyDiv w:val="1"/>
      <w:marLeft w:val="0"/>
      <w:marRight w:val="0"/>
      <w:marTop w:val="0"/>
      <w:marBottom w:val="0"/>
      <w:divBdr>
        <w:top w:val="none" w:sz="0" w:space="0" w:color="auto"/>
        <w:left w:val="none" w:sz="0" w:space="0" w:color="auto"/>
        <w:bottom w:val="none" w:sz="0" w:space="0" w:color="auto"/>
        <w:right w:val="none" w:sz="0" w:space="0" w:color="auto"/>
      </w:divBdr>
    </w:div>
    <w:div w:id="1126776516">
      <w:bodyDiv w:val="1"/>
      <w:marLeft w:val="0"/>
      <w:marRight w:val="0"/>
      <w:marTop w:val="0"/>
      <w:marBottom w:val="0"/>
      <w:divBdr>
        <w:top w:val="none" w:sz="0" w:space="0" w:color="auto"/>
        <w:left w:val="none" w:sz="0" w:space="0" w:color="auto"/>
        <w:bottom w:val="none" w:sz="0" w:space="0" w:color="auto"/>
        <w:right w:val="none" w:sz="0" w:space="0" w:color="auto"/>
      </w:divBdr>
    </w:div>
    <w:div w:id="1227061852">
      <w:bodyDiv w:val="1"/>
      <w:marLeft w:val="0"/>
      <w:marRight w:val="0"/>
      <w:marTop w:val="0"/>
      <w:marBottom w:val="0"/>
      <w:divBdr>
        <w:top w:val="none" w:sz="0" w:space="0" w:color="auto"/>
        <w:left w:val="none" w:sz="0" w:space="0" w:color="auto"/>
        <w:bottom w:val="none" w:sz="0" w:space="0" w:color="auto"/>
        <w:right w:val="none" w:sz="0" w:space="0" w:color="auto"/>
      </w:divBdr>
    </w:div>
    <w:div w:id="1263687463">
      <w:bodyDiv w:val="1"/>
      <w:marLeft w:val="0"/>
      <w:marRight w:val="0"/>
      <w:marTop w:val="0"/>
      <w:marBottom w:val="0"/>
      <w:divBdr>
        <w:top w:val="none" w:sz="0" w:space="0" w:color="auto"/>
        <w:left w:val="none" w:sz="0" w:space="0" w:color="auto"/>
        <w:bottom w:val="none" w:sz="0" w:space="0" w:color="auto"/>
        <w:right w:val="none" w:sz="0" w:space="0" w:color="auto"/>
      </w:divBdr>
    </w:div>
    <w:div w:id="1598635549">
      <w:bodyDiv w:val="1"/>
      <w:marLeft w:val="0"/>
      <w:marRight w:val="0"/>
      <w:marTop w:val="0"/>
      <w:marBottom w:val="0"/>
      <w:divBdr>
        <w:top w:val="none" w:sz="0" w:space="0" w:color="auto"/>
        <w:left w:val="none" w:sz="0" w:space="0" w:color="auto"/>
        <w:bottom w:val="none" w:sz="0" w:space="0" w:color="auto"/>
        <w:right w:val="none" w:sz="0" w:space="0" w:color="auto"/>
      </w:divBdr>
    </w:div>
    <w:div w:id="1943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f8d676-f754-40bc-b18e-5c1692921efa" xsi:nil="true"/>
    <lcf76f155ced4ddcb4097134ff3c332f xmlns="c3b63460-c1f6-4a5f-a73c-af79118bee2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4E9B9CD02144894D3EEA3A3AE257B" ma:contentTypeVersion="14" ma:contentTypeDescription="Create a new document." ma:contentTypeScope="" ma:versionID="c5a72b67a976979567aaeab03674dcbf">
  <xsd:schema xmlns:xsd="http://www.w3.org/2001/XMLSchema" xmlns:xs="http://www.w3.org/2001/XMLSchema" xmlns:p="http://schemas.microsoft.com/office/2006/metadata/properties" xmlns:ns2="c3b63460-c1f6-4a5f-a73c-af79118bee21" xmlns:ns3="b0f8d676-f754-40bc-b18e-5c1692921efa" targetNamespace="http://schemas.microsoft.com/office/2006/metadata/properties" ma:root="true" ma:fieldsID="f49f57d290645faf1b4eafc729e8c0d8" ns2:_="" ns3:_="">
    <xsd:import namespace="c3b63460-c1f6-4a5f-a73c-af79118bee21"/>
    <xsd:import namespace="b0f8d676-f754-40bc-b18e-5c1692921e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63460-c1f6-4a5f-a73c-af79118be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710b10-b370-4d4c-8519-005f7e765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8d676-f754-40bc-b18e-5c1692921ef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0124c97-dba2-4083-9ad3-eb5033fbc536}" ma:internalName="TaxCatchAll" ma:showField="CatchAllData" ma:web="24161027-12e8-424b-aba8-72a7d3856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23800-329E-4660-9EEC-437FDD700438}">
  <ds:schemaRefs>
    <ds:schemaRef ds:uri="http://schemas.openxmlformats.org/officeDocument/2006/bibliography"/>
  </ds:schemaRefs>
</ds:datastoreItem>
</file>

<file path=customXml/itemProps2.xml><?xml version="1.0" encoding="utf-8"?>
<ds:datastoreItem xmlns:ds="http://schemas.openxmlformats.org/officeDocument/2006/customXml" ds:itemID="{B15A433C-A7C4-483F-9765-1AD4FFA08860}">
  <ds:schemaRefs>
    <ds:schemaRef ds:uri="http://schemas.microsoft.com/sharepoint/v3/contenttype/forms"/>
  </ds:schemaRefs>
</ds:datastoreItem>
</file>

<file path=customXml/itemProps3.xml><?xml version="1.0" encoding="utf-8"?>
<ds:datastoreItem xmlns:ds="http://schemas.openxmlformats.org/officeDocument/2006/customXml" ds:itemID="{FC0E37FE-04DC-424F-9FA3-E928BB8DA9D6}">
  <ds:schemaRefs>
    <ds:schemaRef ds:uri="f6b0b5b1-100a-415b-a2c7-8ebac16211d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113581f-3d61-4921-9341-a73a592d7ca9"/>
    <ds:schemaRef ds:uri="http://www.w3.org/XML/1998/namespace"/>
    <ds:schemaRef ds:uri="http://purl.org/dc/dcmitype/"/>
  </ds:schemaRefs>
</ds:datastoreItem>
</file>

<file path=customXml/itemProps4.xml><?xml version="1.0" encoding="utf-8"?>
<ds:datastoreItem xmlns:ds="http://schemas.openxmlformats.org/officeDocument/2006/customXml" ds:itemID="{9B35DBF5-FA3B-409E-A61C-E81775CCC790}"/>
</file>

<file path=docProps/app.xml><?xml version="1.0" encoding="utf-8"?>
<Properties xmlns="http://schemas.openxmlformats.org/officeDocument/2006/extended-properties" xmlns:vt="http://schemas.openxmlformats.org/officeDocument/2006/docPropsVTypes">
  <Template>Normal</Template>
  <TotalTime>9</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TRACY FAMILY FOUNDATION POLICIES</vt:lpstr>
    </vt:vector>
  </TitlesOfParts>
  <Company>Dot Foods, Inc.</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FAMILY FOUNDATION POLICIES</dc:title>
  <dc:subject/>
  <dc:creator>Jean Buckley</dc:creator>
  <cp:keywords/>
  <dc:description/>
  <cp:lastModifiedBy>Jean Buckley</cp:lastModifiedBy>
  <cp:revision>8</cp:revision>
  <dcterms:created xsi:type="dcterms:W3CDTF">2024-01-10T16:07:00Z</dcterms:created>
  <dcterms:modified xsi:type="dcterms:W3CDTF">2024-01-10T16:20:00Z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0x0101006694E9B9CD02144894D3EEA3A3AE257B</vt:lpwstr>
  </property>
  <property fmtid="{D5CDD505-2E9C-101B-9397-08002B2CF9AE}" pid="4" name="Order">
    <vt:r8>1005900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