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29607" w14:textId="77777777" w:rsidR="00AA0C4B" w:rsidRDefault="00AA0C4B" w:rsidP="00AA0C4B">
      <w:pPr>
        <w:pStyle w:val="Default"/>
        <w:jc w:val="center"/>
        <w:rPr>
          <w:b/>
          <w:bCs/>
          <w:sz w:val="23"/>
          <w:szCs w:val="23"/>
        </w:rPr>
      </w:pPr>
      <w:r>
        <w:rPr>
          <w:b/>
          <w:bCs/>
          <w:noProof/>
          <w:sz w:val="23"/>
          <w:szCs w:val="23"/>
        </w:rPr>
        <w:drawing>
          <wp:inline distT="0" distB="0" distL="0" distR="0" wp14:anchorId="0CBAC38D" wp14:editId="7F607380">
            <wp:extent cx="1834091"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5239" cy="1226611"/>
                    </a:xfrm>
                    <a:prstGeom prst="rect">
                      <a:avLst/>
                    </a:prstGeom>
                  </pic:spPr>
                </pic:pic>
              </a:graphicData>
            </a:graphic>
          </wp:inline>
        </w:drawing>
      </w:r>
    </w:p>
    <w:p w14:paraId="020266EF" w14:textId="77777777" w:rsidR="00AA0C4B" w:rsidRDefault="00AA0C4B" w:rsidP="00AA0C4B">
      <w:pPr>
        <w:pStyle w:val="Default"/>
        <w:rPr>
          <w:b/>
          <w:bCs/>
          <w:sz w:val="23"/>
          <w:szCs w:val="23"/>
        </w:rPr>
      </w:pPr>
    </w:p>
    <w:p w14:paraId="313390E1" w14:textId="77777777" w:rsidR="00AA0C4B" w:rsidRPr="00901146" w:rsidRDefault="00AA0C4B" w:rsidP="00AA0C4B">
      <w:pPr>
        <w:pStyle w:val="Default"/>
        <w:jc w:val="center"/>
        <w:rPr>
          <w:rFonts w:ascii="Candara" w:hAnsi="Candara"/>
          <w:sz w:val="40"/>
          <w:szCs w:val="40"/>
        </w:rPr>
      </w:pPr>
      <w:r w:rsidRPr="00901146">
        <w:rPr>
          <w:rFonts w:ascii="Candara" w:hAnsi="Candara"/>
          <w:b/>
          <w:bCs/>
          <w:sz w:val="40"/>
          <w:szCs w:val="40"/>
        </w:rPr>
        <w:t>Investment Policy</w:t>
      </w:r>
    </w:p>
    <w:p w14:paraId="038E7F6A" w14:textId="710A3495" w:rsidR="00AA0C4B" w:rsidRPr="000475E5" w:rsidRDefault="00AA0C4B" w:rsidP="00AA0C4B">
      <w:pPr>
        <w:jc w:val="center"/>
        <w:rPr>
          <w:rFonts w:cstheme="minorHAnsi"/>
        </w:rPr>
      </w:pPr>
      <w:r w:rsidRPr="000475E5">
        <w:rPr>
          <w:rFonts w:cstheme="minorHAnsi"/>
        </w:rPr>
        <w:t xml:space="preserve">Adopted </w:t>
      </w:r>
      <w:r w:rsidR="004D21AF" w:rsidRPr="000475E5">
        <w:rPr>
          <w:rFonts w:cstheme="minorHAnsi"/>
        </w:rPr>
        <w:t xml:space="preserve">by Tracy Family Foundation Board </w:t>
      </w:r>
      <w:r w:rsidRPr="000475E5">
        <w:rPr>
          <w:rFonts w:cstheme="minorHAnsi"/>
        </w:rPr>
        <w:t>as of</w:t>
      </w:r>
      <w:r w:rsidR="004D21AF" w:rsidRPr="000475E5">
        <w:rPr>
          <w:rFonts w:cstheme="minorHAnsi"/>
        </w:rPr>
        <w:t xml:space="preserve"> July 27, 2022.</w:t>
      </w:r>
    </w:p>
    <w:p w14:paraId="5361B45D" w14:textId="42BC68F2" w:rsidR="005C7AF5" w:rsidRDefault="000475E5"/>
    <w:p w14:paraId="3C5704F4" w14:textId="04876C84" w:rsidR="00AA0C4B" w:rsidRPr="00AA0C4B" w:rsidRDefault="00AA0C4B" w:rsidP="00AA0C4B">
      <w:pPr>
        <w:pStyle w:val="ListParagraph"/>
        <w:numPr>
          <w:ilvl w:val="0"/>
          <w:numId w:val="1"/>
        </w:numPr>
        <w:rPr>
          <w:b/>
          <w:bCs/>
        </w:rPr>
      </w:pPr>
      <w:r w:rsidRPr="00AA0C4B">
        <w:rPr>
          <w:b/>
          <w:bCs/>
        </w:rPr>
        <w:t>General</w:t>
      </w:r>
    </w:p>
    <w:p w14:paraId="32F1A619" w14:textId="68F30F17" w:rsidR="00AA0C4B" w:rsidRPr="005B153B" w:rsidRDefault="00AA0C4B" w:rsidP="00AA0C4B">
      <w:pPr>
        <w:pStyle w:val="ListParagraph"/>
        <w:numPr>
          <w:ilvl w:val="1"/>
          <w:numId w:val="1"/>
        </w:numPr>
        <w:rPr>
          <w:b/>
          <w:bCs/>
        </w:rPr>
      </w:pPr>
      <w:r w:rsidRPr="00AA0C4B">
        <w:rPr>
          <w:b/>
          <w:bCs/>
        </w:rPr>
        <w:t>Purpose</w:t>
      </w:r>
      <w:r>
        <w:rPr>
          <w:b/>
          <w:bCs/>
        </w:rPr>
        <w:t>.</w:t>
      </w:r>
      <w:r w:rsidRPr="00AA0C4B">
        <w:rPr>
          <w:b/>
          <w:bCs/>
        </w:rPr>
        <w:t xml:space="preserve"> </w:t>
      </w:r>
      <w:r w:rsidRPr="00AA0C4B">
        <w:t xml:space="preserve">The purpose of this Investment Policy is to give guidance to the Board of Directors (“Board”), </w:t>
      </w:r>
      <w:r w:rsidR="00210687">
        <w:t>Investment Advisory Committee</w:t>
      </w:r>
      <w:r w:rsidR="00D25DC2">
        <w:t>,</w:t>
      </w:r>
      <w:r w:rsidRPr="00AA0C4B">
        <w:t xml:space="preserve"> and Staff of the Tracy Family Foundation (“TFF”), in connection with the investment and management of TFF’s funds designated for investment (the “Investment Funds”). Long-term investment objectives, policies</w:t>
      </w:r>
      <w:r w:rsidR="00D25DC2">
        <w:t>,</w:t>
      </w:r>
      <w:r w:rsidRPr="00AA0C4B">
        <w:t xml:space="preserve"> and a prudent investment program are essential tools for the Board and </w:t>
      </w:r>
      <w:r w:rsidR="00210687">
        <w:t>Investment Advisory Committee</w:t>
      </w:r>
      <w:r w:rsidRPr="00AA0C4B">
        <w:t xml:space="preserve"> in carrying out their fiduciary responsibilities </w:t>
      </w:r>
      <w:r w:rsidR="00D25DC2">
        <w:t>concerning</w:t>
      </w:r>
      <w:r w:rsidRPr="00AA0C4B">
        <w:t xml:space="preserve"> the management and investment of TFF’s Investment Funds. In the pursuit of its investment objectives, the Board may engage the services of one or more investment advisors (each, an “Investment Advisor”), who, in turn, may assist in the selection of investment managers of the funds invested under the purview of the </w:t>
      </w:r>
      <w:r w:rsidR="00210687">
        <w:t>Investment Advisory Committee</w:t>
      </w:r>
      <w:r w:rsidRPr="00AA0C4B">
        <w:t xml:space="preserve"> (each, an “Investment Manager”).</w:t>
      </w:r>
    </w:p>
    <w:p w14:paraId="7ED9A0F0" w14:textId="77777777" w:rsidR="005B153B" w:rsidRPr="005B153B" w:rsidRDefault="005B153B" w:rsidP="005B153B">
      <w:pPr>
        <w:pStyle w:val="ListParagraph"/>
        <w:ind w:left="1440"/>
        <w:rPr>
          <w:b/>
          <w:bCs/>
        </w:rPr>
      </w:pPr>
    </w:p>
    <w:p w14:paraId="5A586FB7" w14:textId="6C0ED2D7" w:rsidR="005B153B" w:rsidRPr="00672B1F" w:rsidRDefault="005B153B" w:rsidP="00AA0C4B">
      <w:pPr>
        <w:pStyle w:val="ListParagraph"/>
        <w:numPr>
          <w:ilvl w:val="1"/>
          <w:numId w:val="1"/>
        </w:numPr>
        <w:rPr>
          <w:b/>
          <w:bCs/>
        </w:rPr>
      </w:pPr>
      <w:r>
        <w:rPr>
          <w:b/>
          <w:bCs/>
        </w:rPr>
        <w:t>Mission</w:t>
      </w:r>
      <w:r w:rsidR="00DC13AB">
        <w:rPr>
          <w:b/>
          <w:bCs/>
        </w:rPr>
        <w:t xml:space="preserve"> and Values</w:t>
      </w:r>
      <w:r>
        <w:rPr>
          <w:b/>
          <w:bCs/>
        </w:rPr>
        <w:t xml:space="preserve">. </w:t>
      </w:r>
      <w:r w:rsidR="00DC3480" w:rsidRPr="00DC3480">
        <w:t>TFF’s mission is to advance innovative, collaborative, and sustainable change in communities and cultivate a philanthropic spirit in all generations of the Robert and Dorothy Tracy family.</w:t>
      </w:r>
      <w:r w:rsidR="00DC3480">
        <w:t xml:space="preserve"> </w:t>
      </w:r>
      <w:r w:rsidR="00C80608">
        <w:t xml:space="preserve">TFF </w:t>
      </w:r>
      <w:r w:rsidR="003D068E">
        <w:t xml:space="preserve">aligns </w:t>
      </w:r>
      <w:proofErr w:type="gramStart"/>
      <w:r w:rsidR="003D068E">
        <w:t>all of</w:t>
      </w:r>
      <w:proofErr w:type="gramEnd"/>
      <w:r w:rsidR="003D068E">
        <w:t xml:space="preserve"> its work with </w:t>
      </w:r>
      <w:r w:rsidR="00DC13AB" w:rsidRPr="00DC13AB">
        <w:t>the values of family, faith, education, leadership, and community</w:t>
      </w:r>
      <w:r w:rsidR="00D93537">
        <w:t>.</w:t>
      </w:r>
    </w:p>
    <w:p w14:paraId="0A382ED2" w14:textId="77777777" w:rsidR="00672B1F" w:rsidRPr="00672B1F" w:rsidRDefault="00672B1F" w:rsidP="00672B1F">
      <w:pPr>
        <w:pStyle w:val="ListParagraph"/>
        <w:rPr>
          <w:b/>
          <w:bCs/>
        </w:rPr>
      </w:pPr>
    </w:p>
    <w:p w14:paraId="226B5212" w14:textId="56178F31" w:rsidR="00672B1F" w:rsidRPr="00713943" w:rsidRDefault="00672B1F" w:rsidP="00AA0C4B">
      <w:pPr>
        <w:pStyle w:val="ListParagraph"/>
        <w:numPr>
          <w:ilvl w:val="1"/>
          <w:numId w:val="1"/>
        </w:numPr>
        <w:rPr>
          <w:b/>
          <w:bCs/>
        </w:rPr>
      </w:pPr>
      <w:r>
        <w:rPr>
          <w:b/>
          <w:bCs/>
        </w:rPr>
        <w:t>Income</w:t>
      </w:r>
      <w:r w:rsidR="004A278A">
        <w:rPr>
          <w:b/>
          <w:bCs/>
        </w:rPr>
        <w:t xml:space="preserve"> and Expenses</w:t>
      </w:r>
      <w:r>
        <w:rPr>
          <w:b/>
          <w:bCs/>
        </w:rPr>
        <w:t xml:space="preserve">. </w:t>
      </w:r>
      <w:r w:rsidR="00726631" w:rsidRPr="00726631">
        <w:t xml:space="preserve">Dot Foods provides an annual contribution to TFF in March. The amount of the contribution is based upon a percentage of </w:t>
      </w:r>
      <w:r w:rsidR="00726631">
        <w:t xml:space="preserve">the corporation’s </w:t>
      </w:r>
      <w:r w:rsidR="00726631" w:rsidRPr="00726631">
        <w:t>pre-tax profits.</w:t>
      </w:r>
      <w:r w:rsidR="004A278A">
        <w:t xml:space="preserve"> </w:t>
      </w:r>
      <w:r w:rsidR="00A45DC9" w:rsidRPr="00A45DC9">
        <w:t>TFF operates differently than an endowed foundation that received a large contribution at a point in time and distributes 5-10% annually. TFF receives an annual contribution and seeks to distribute approximately 40-60% of its total assets each year. TFF’s Spending and Reserve Guidelines recommend that TFF have a minimum of one year and a maximum of two years of expenses in reserves. If the reserves’ balance exceeds two years of expenses, TFF’s guidelines encourage TFF to pursue a special charitable gift with the excess funds. TFF does not seek to accumulate funds but seeks to mobilize them for impact.</w:t>
      </w:r>
    </w:p>
    <w:p w14:paraId="266BFA65" w14:textId="77777777" w:rsidR="00713943" w:rsidRPr="00AA0C4B" w:rsidRDefault="00713943" w:rsidP="00713943">
      <w:pPr>
        <w:pStyle w:val="ListParagraph"/>
        <w:ind w:left="1440"/>
        <w:rPr>
          <w:b/>
          <w:bCs/>
        </w:rPr>
      </w:pPr>
    </w:p>
    <w:p w14:paraId="062D3E7A" w14:textId="6B59DB51" w:rsidR="00AA0C4B" w:rsidRDefault="00210687" w:rsidP="00AA0C4B">
      <w:pPr>
        <w:pStyle w:val="ListParagraph"/>
        <w:numPr>
          <w:ilvl w:val="1"/>
          <w:numId w:val="1"/>
        </w:numPr>
        <w:rPr>
          <w:b/>
          <w:bCs/>
        </w:rPr>
      </w:pPr>
      <w:r>
        <w:rPr>
          <w:b/>
          <w:bCs/>
        </w:rPr>
        <w:t>Investment Advisory Committee</w:t>
      </w:r>
      <w:r w:rsidR="00AA0C4B" w:rsidRPr="00AA0C4B">
        <w:rPr>
          <w:b/>
          <w:bCs/>
        </w:rPr>
        <w:t xml:space="preserve"> Review. </w:t>
      </w:r>
      <w:r w:rsidR="00AA0C4B" w:rsidRPr="00AA0C4B">
        <w:t xml:space="preserve">The </w:t>
      </w:r>
      <w:r>
        <w:t>Investment Advisory Committee</w:t>
      </w:r>
      <w:r w:rsidR="00AA0C4B" w:rsidRPr="00AA0C4B">
        <w:t xml:space="preserve"> will review this Investment Policy </w:t>
      </w:r>
      <w:r w:rsidR="00E73FD9">
        <w:t>at least every three years</w:t>
      </w:r>
      <w:r w:rsidR="00B96B05">
        <w:t xml:space="preserve"> and will review the strategic asset allocation annually.</w:t>
      </w:r>
      <w:r w:rsidR="00AA0C4B" w:rsidRPr="00AA0C4B">
        <w:t xml:space="preserve"> </w:t>
      </w:r>
      <w:r w:rsidR="00B96B05">
        <w:t>The</w:t>
      </w:r>
      <w:r w:rsidR="00922136">
        <w:t xml:space="preserve"> Investment Advisory</w:t>
      </w:r>
      <w:r w:rsidR="00B96B05">
        <w:t xml:space="preserve"> Committee will then r</w:t>
      </w:r>
      <w:r w:rsidR="00AA0C4B" w:rsidRPr="00AA0C4B">
        <w:t>ecommend any appropriate changes to the TFF Board.</w:t>
      </w:r>
      <w:r w:rsidR="00AA0C4B" w:rsidRPr="00AA0C4B">
        <w:rPr>
          <w:b/>
          <w:bCs/>
        </w:rPr>
        <w:t xml:space="preserve"> </w:t>
      </w:r>
    </w:p>
    <w:p w14:paraId="6A4B5C74" w14:textId="77777777" w:rsidR="00AA0C4B" w:rsidRPr="00AA0C4B" w:rsidRDefault="00AA0C4B" w:rsidP="00AA0C4B">
      <w:pPr>
        <w:pStyle w:val="ListParagraph"/>
        <w:ind w:left="1440"/>
        <w:rPr>
          <w:b/>
          <w:bCs/>
        </w:rPr>
      </w:pPr>
    </w:p>
    <w:p w14:paraId="365C204A" w14:textId="2595905D" w:rsidR="00AA0C4B" w:rsidRDefault="00AA0C4B" w:rsidP="00AA0C4B">
      <w:pPr>
        <w:pStyle w:val="ListParagraph"/>
        <w:numPr>
          <w:ilvl w:val="0"/>
          <w:numId w:val="1"/>
        </w:numPr>
        <w:rPr>
          <w:b/>
          <w:bCs/>
        </w:rPr>
      </w:pPr>
      <w:r>
        <w:rPr>
          <w:b/>
          <w:bCs/>
        </w:rPr>
        <w:t xml:space="preserve">The </w:t>
      </w:r>
      <w:r w:rsidR="00210687">
        <w:rPr>
          <w:b/>
          <w:bCs/>
        </w:rPr>
        <w:t>Investment Advisory Committee</w:t>
      </w:r>
    </w:p>
    <w:p w14:paraId="2543FC50" w14:textId="27843984" w:rsidR="003D068E" w:rsidRPr="0019320A" w:rsidRDefault="00AA0C4B" w:rsidP="00713943">
      <w:pPr>
        <w:pStyle w:val="ListParagraph"/>
        <w:numPr>
          <w:ilvl w:val="1"/>
          <w:numId w:val="1"/>
        </w:numPr>
        <w:rPr>
          <w:b/>
          <w:bCs/>
        </w:rPr>
      </w:pPr>
      <w:r w:rsidRPr="00AA0C4B">
        <w:rPr>
          <w:b/>
          <w:bCs/>
        </w:rPr>
        <w:t xml:space="preserve">General. </w:t>
      </w:r>
      <w:r w:rsidRPr="00AA0C4B">
        <w:t xml:space="preserve">In recognition of its responsibility to manage the Investment Funds prudently, the Board has appointed an </w:t>
      </w:r>
      <w:r w:rsidR="00210687">
        <w:t>Investment Advisory Committee</w:t>
      </w:r>
      <w:r w:rsidRPr="00AA0C4B">
        <w:t xml:space="preserve"> </w:t>
      </w:r>
      <w:r w:rsidR="005926A2">
        <w:t>under</w:t>
      </w:r>
      <w:r w:rsidRPr="00AA0C4B">
        <w:t xml:space="preserve"> the By-Laws of the TFF. The </w:t>
      </w:r>
      <w:r w:rsidR="00210687">
        <w:t>Investment Advisory Committee</w:t>
      </w:r>
      <w:r w:rsidRPr="00AA0C4B">
        <w:t xml:space="preserve"> has been charged with the responsibility to supervise the investment and management of the Investment Funds and has been further charged with the responsibility of keeping the Board properly advised of the status of TFF’s investments.</w:t>
      </w:r>
      <w:r w:rsidRPr="00AA0C4B">
        <w:rPr>
          <w:b/>
          <w:bCs/>
        </w:rPr>
        <w:t xml:space="preserve"> </w:t>
      </w:r>
    </w:p>
    <w:p w14:paraId="1869407C" w14:textId="77777777" w:rsidR="003D068E" w:rsidRPr="00AA0C4B" w:rsidRDefault="003D068E" w:rsidP="00713943">
      <w:pPr>
        <w:pStyle w:val="ListParagraph"/>
        <w:ind w:left="1440"/>
        <w:rPr>
          <w:b/>
          <w:bCs/>
        </w:rPr>
      </w:pPr>
    </w:p>
    <w:p w14:paraId="49EB7D55" w14:textId="7832A415" w:rsidR="00AA0C4B" w:rsidRDefault="00AA0C4B" w:rsidP="00AA0C4B">
      <w:pPr>
        <w:pStyle w:val="ListParagraph"/>
        <w:numPr>
          <w:ilvl w:val="1"/>
          <w:numId w:val="1"/>
        </w:numPr>
        <w:rPr>
          <w:b/>
          <w:bCs/>
        </w:rPr>
      </w:pPr>
      <w:r>
        <w:rPr>
          <w:b/>
          <w:bCs/>
        </w:rPr>
        <w:t>Structures and Operations.</w:t>
      </w:r>
    </w:p>
    <w:p w14:paraId="643A875D" w14:textId="10277128" w:rsidR="00AA0C4B" w:rsidRPr="00AA0C4B" w:rsidRDefault="00AA0C4B" w:rsidP="00AA0C4B">
      <w:pPr>
        <w:pStyle w:val="ListParagraph"/>
        <w:numPr>
          <w:ilvl w:val="2"/>
          <w:numId w:val="1"/>
        </w:numPr>
        <w:rPr>
          <w:b/>
          <w:bCs/>
        </w:rPr>
      </w:pPr>
      <w:r w:rsidRPr="00AA0C4B">
        <w:rPr>
          <w:b/>
          <w:bCs/>
        </w:rPr>
        <w:t xml:space="preserve"> Composition and Qualifications. </w:t>
      </w:r>
      <w:r w:rsidRPr="00AA0C4B">
        <w:t xml:space="preserve">The </w:t>
      </w:r>
      <w:r w:rsidR="00210687">
        <w:t>Investment Advisory Committee</w:t>
      </w:r>
      <w:r w:rsidRPr="00AA0C4B">
        <w:t xml:space="preserve"> will be comprised of one or more members of the Board</w:t>
      </w:r>
      <w:r w:rsidR="00D81FCF">
        <w:t>, at least one TFF Staff member,</w:t>
      </w:r>
      <w:r w:rsidRPr="00AA0C4B">
        <w:t xml:space="preserve"> and one or more members of the Tracy family and/or public, preferably with financial and/or investment background or expertise.</w:t>
      </w:r>
      <w:r w:rsidRPr="00AA0C4B">
        <w:rPr>
          <w:b/>
          <w:bCs/>
        </w:rPr>
        <w:t xml:space="preserve"> </w:t>
      </w:r>
      <w:r w:rsidR="002B7667" w:rsidRPr="003F1F94">
        <w:t xml:space="preserve">The Committee will have a minimum of </w:t>
      </w:r>
      <w:r w:rsidR="003F1F94" w:rsidRPr="003F1F94">
        <w:t>5 members and maximum of 11 members.</w:t>
      </w:r>
    </w:p>
    <w:p w14:paraId="249C2758" w14:textId="515D7377" w:rsidR="00AA0C4B" w:rsidRPr="00AA0C4B" w:rsidRDefault="00AA0C4B" w:rsidP="00AA0C4B">
      <w:pPr>
        <w:pStyle w:val="ListParagraph"/>
        <w:numPr>
          <w:ilvl w:val="2"/>
          <w:numId w:val="1"/>
        </w:numPr>
        <w:rPr>
          <w:b/>
          <w:bCs/>
        </w:rPr>
      </w:pPr>
      <w:r w:rsidRPr="00AA0C4B">
        <w:rPr>
          <w:b/>
          <w:bCs/>
        </w:rPr>
        <w:lastRenderedPageBreak/>
        <w:t xml:space="preserve"> Appointment and Removal. </w:t>
      </w:r>
      <w:r w:rsidR="00773CC8">
        <w:t>Following</w:t>
      </w:r>
      <w:r w:rsidRPr="00AA0C4B">
        <w:t xml:space="preserve"> the By-Laws of TFF, the members of the</w:t>
      </w:r>
      <w:r w:rsidR="00102008">
        <w:t xml:space="preserve"> Investment Advisory</w:t>
      </w:r>
      <w:r w:rsidRPr="00AA0C4B">
        <w:t xml:space="preserve"> Committee will be appointed by the Board for a term of one year.</w:t>
      </w:r>
      <w:r w:rsidR="009A03C6">
        <w:t xml:space="preserve"> It is preferred that </w:t>
      </w:r>
      <w:r w:rsidR="00102008">
        <w:t xml:space="preserve">Investment Advisory </w:t>
      </w:r>
      <w:r w:rsidR="009A03C6">
        <w:t>Committee members serve at least three years.</w:t>
      </w:r>
      <w:r w:rsidRPr="00AA0C4B">
        <w:t xml:space="preserve"> Any member of the Committee may be removed, with or without cause, by a majority vote of the Board.</w:t>
      </w:r>
      <w:r w:rsidRPr="00AA0C4B">
        <w:rPr>
          <w:b/>
          <w:bCs/>
        </w:rPr>
        <w:t xml:space="preserve"> </w:t>
      </w:r>
    </w:p>
    <w:p w14:paraId="6C258FF7" w14:textId="4CC51E31" w:rsidR="00AA0C4B" w:rsidRDefault="00AA0C4B" w:rsidP="00AA0C4B">
      <w:pPr>
        <w:pStyle w:val="ListParagraph"/>
        <w:numPr>
          <w:ilvl w:val="2"/>
          <w:numId w:val="1"/>
        </w:numPr>
        <w:rPr>
          <w:b/>
          <w:bCs/>
        </w:rPr>
      </w:pPr>
      <w:r w:rsidRPr="00AA0C4B">
        <w:rPr>
          <w:b/>
          <w:bCs/>
        </w:rPr>
        <w:t xml:space="preserve"> Chair. </w:t>
      </w:r>
      <w:r w:rsidRPr="00AA0C4B">
        <w:t xml:space="preserve">The Chair of the </w:t>
      </w:r>
      <w:r w:rsidR="00B23612">
        <w:t xml:space="preserve">Investment Advisory </w:t>
      </w:r>
      <w:r w:rsidRPr="00AA0C4B">
        <w:t>Committee will be appointed by the Chair of the Board of TFF. The Chair of the Committee will set the agendas for and chair Committee meetings.</w:t>
      </w:r>
      <w:r w:rsidRPr="00AA0C4B">
        <w:rPr>
          <w:b/>
          <w:bCs/>
        </w:rPr>
        <w:t xml:space="preserve"> </w:t>
      </w:r>
    </w:p>
    <w:p w14:paraId="6DCCE91B" w14:textId="77777777" w:rsidR="00713943" w:rsidRPr="00AA0C4B" w:rsidRDefault="00713943" w:rsidP="00713943">
      <w:pPr>
        <w:pStyle w:val="ListParagraph"/>
        <w:ind w:left="2160"/>
        <w:rPr>
          <w:b/>
          <w:bCs/>
        </w:rPr>
      </w:pPr>
    </w:p>
    <w:p w14:paraId="49CDA7D9" w14:textId="1E0E78E8" w:rsidR="00AA0C4B" w:rsidRPr="00713943" w:rsidRDefault="00AA0C4B" w:rsidP="00AA0C4B">
      <w:pPr>
        <w:pStyle w:val="ListParagraph"/>
        <w:numPr>
          <w:ilvl w:val="1"/>
          <w:numId w:val="1"/>
        </w:numPr>
        <w:rPr>
          <w:b/>
          <w:bCs/>
        </w:rPr>
      </w:pPr>
      <w:r>
        <w:rPr>
          <w:b/>
          <w:bCs/>
        </w:rPr>
        <w:t xml:space="preserve">Meetings. </w:t>
      </w:r>
      <w:r w:rsidRPr="00AA0C4B">
        <w:t xml:space="preserve">The </w:t>
      </w:r>
      <w:r w:rsidR="008301C2">
        <w:t xml:space="preserve">Investment Advisory </w:t>
      </w:r>
      <w:r w:rsidRPr="00AA0C4B">
        <w:t>Committee will meet at least quarterly or more frequently as circumstances dictate. The Committee may invite to its meetings any director, any employee of TFF, and any other person with whom it deems appropriate to consult to carry out its duties and responsibilities.</w:t>
      </w:r>
    </w:p>
    <w:p w14:paraId="030774DA" w14:textId="77777777" w:rsidR="00713943" w:rsidRPr="00AA0C4B" w:rsidRDefault="00713943" w:rsidP="00713943">
      <w:pPr>
        <w:pStyle w:val="ListParagraph"/>
        <w:ind w:left="1440"/>
        <w:rPr>
          <w:b/>
          <w:bCs/>
        </w:rPr>
      </w:pPr>
    </w:p>
    <w:p w14:paraId="7DF39E66" w14:textId="5615A530" w:rsidR="00AA0C4B" w:rsidRPr="00AA0C4B" w:rsidRDefault="00AA0C4B" w:rsidP="00AA0C4B">
      <w:pPr>
        <w:pStyle w:val="ListParagraph"/>
        <w:numPr>
          <w:ilvl w:val="1"/>
          <w:numId w:val="1"/>
        </w:numPr>
        <w:rPr>
          <w:b/>
          <w:bCs/>
        </w:rPr>
      </w:pPr>
      <w:r w:rsidRPr="00AA0C4B">
        <w:rPr>
          <w:b/>
          <w:bCs/>
        </w:rPr>
        <w:t xml:space="preserve">Duties and Responsibilities of the </w:t>
      </w:r>
      <w:r w:rsidR="00210687">
        <w:rPr>
          <w:b/>
          <w:bCs/>
        </w:rPr>
        <w:t>Investment Advisory Committee</w:t>
      </w:r>
      <w:r w:rsidRPr="00AA0C4B">
        <w:rPr>
          <w:b/>
          <w:bCs/>
        </w:rPr>
        <w:t xml:space="preserve">. </w:t>
      </w:r>
      <w:r w:rsidRPr="00AA0C4B">
        <w:t xml:space="preserve">The following are the duties and responsibilities of the </w:t>
      </w:r>
      <w:r w:rsidR="00210687">
        <w:t>Investment Advisory Committee</w:t>
      </w:r>
      <w:r w:rsidRPr="00AA0C4B">
        <w:t xml:space="preserve">: </w:t>
      </w:r>
    </w:p>
    <w:p w14:paraId="4F66EEA9" w14:textId="591989B7" w:rsidR="00AA0C4B" w:rsidRPr="00AA0C4B" w:rsidRDefault="00AA0C4B" w:rsidP="00AA0C4B">
      <w:pPr>
        <w:pStyle w:val="ListParagraph"/>
        <w:numPr>
          <w:ilvl w:val="0"/>
          <w:numId w:val="4"/>
        </w:numPr>
      </w:pPr>
      <w:r w:rsidRPr="00AA0C4B">
        <w:t xml:space="preserve">Authorization and supervision of the </w:t>
      </w:r>
      <w:r w:rsidR="000A5D7E">
        <w:t>I</w:t>
      </w:r>
      <w:r w:rsidRPr="00AA0C4B">
        <w:t xml:space="preserve">nvestment Funds. </w:t>
      </w:r>
    </w:p>
    <w:p w14:paraId="3ADEB105" w14:textId="0963EA20" w:rsidR="00AA0C4B" w:rsidRPr="00AA0C4B" w:rsidRDefault="00AA0C4B" w:rsidP="00AA0C4B">
      <w:pPr>
        <w:pStyle w:val="ListParagraph"/>
        <w:numPr>
          <w:ilvl w:val="0"/>
          <w:numId w:val="4"/>
        </w:numPr>
      </w:pPr>
      <w:r w:rsidRPr="00AA0C4B">
        <w:t xml:space="preserve">Periodic review of the written Investment Policy for the Investment Funds. </w:t>
      </w:r>
    </w:p>
    <w:p w14:paraId="0C39EEAD" w14:textId="2E5B8E04" w:rsidR="00AA0C4B" w:rsidRPr="00AA0C4B" w:rsidRDefault="00AA0C4B" w:rsidP="00AA0C4B">
      <w:pPr>
        <w:pStyle w:val="ListParagraph"/>
        <w:numPr>
          <w:ilvl w:val="0"/>
          <w:numId w:val="4"/>
        </w:numPr>
      </w:pPr>
      <w:r w:rsidRPr="00AA0C4B">
        <w:t xml:space="preserve">With the assistance of and upon the recommendation of the Investment Advisors, </w:t>
      </w:r>
      <w:proofErr w:type="gramStart"/>
      <w:r w:rsidRPr="00AA0C4B">
        <w:t>establishment</w:t>
      </w:r>
      <w:proofErr w:type="gramEnd"/>
      <w:r w:rsidRPr="00AA0C4B">
        <w:t xml:space="preserve"> and review of an investment strategy consistent with the requirements, guidelines</w:t>
      </w:r>
      <w:r w:rsidR="000A5D7E">
        <w:t>,</w:t>
      </w:r>
      <w:r w:rsidRPr="00AA0C4B">
        <w:t xml:space="preserve"> and principles articulated in the Investment Policy. </w:t>
      </w:r>
    </w:p>
    <w:p w14:paraId="25861EDE" w14:textId="18D0D5F5" w:rsidR="00AA0C4B" w:rsidRPr="00AA0C4B" w:rsidRDefault="00AA0C4B" w:rsidP="00AA0C4B">
      <w:pPr>
        <w:pStyle w:val="ListParagraph"/>
        <w:numPr>
          <w:ilvl w:val="0"/>
          <w:numId w:val="4"/>
        </w:numPr>
      </w:pPr>
      <w:r w:rsidRPr="00AA0C4B">
        <w:t xml:space="preserve">The retention and termination of Investment Advisors, with Board approval, to advise the </w:t>
      </w:r>
      <w:r w:rsidR="00210687">
        <w:t>Investment Advisory Committee</w:t>
      </w:r>
      <w:r w:rsidRPr="00AA0C4B">
        <w:t xml:space="preserve"> </w:t>
      </w:r>
      <w:r w:rsidR="009251E6">
        <w:t>concerning</w:t>
      </w:r>
      <w:r w:rsidRPr="00AA0C4B">
        <w:t xml:space="preserve"> its duties and responsibilities. </w:t>
      </w:r>
    </w:p>
    <w:p w14:paraId="255AF115" w14:textId="0573DA17" w:rsidR="00AA0C4B" w:rsidRDefault="00AA0C4B" w:rsidP="00AA0C4B">
      <w:pPr>
        <w:pStyle w:val="ListParagraph"/>
        <w:numPr>
          <w:ilvl w:val="0"/>
          <w:numId w:val="4"/>
        </w:numPr>
      </w:pPr>
      <w:r w:rsidRPr="00AA0C4B">
        <w:t>Supervision of any individuals or entities to whom investment management responsibility is delegated.</w:t>
      </w:r>
    </w:p>
    <w:p w14:paraId="48824CE4" w14:textId="7013B353" w:rsidR="00B77017" w:rsidRDefault="00B77017" w:rsidP="00AA0C4B">
      <w:pPr>
        <w:pStyle w:val="ListParagraph"/>
        <w:numPr>
          <w:ilvl w:val="0"/>
          <w:numId w:val="4"/>
        </w:numPr>
      </w:pPr>
      <w:r>
        <w:t>In addition to quarterly meetings, periodically meeting or conferencing with the Investment Advisors as needed.</w:t>
      </w:r>
    </w:p>
    <w:p w14:paraId="3ED37A94" w14:textId="49A07D8B" w:rsidR="00BA45E1" w:rsidRPr="00AA0C4B" w:rsidRDefault="00BA45E1" w:rsidP="00BA45E1">
      <w:pPr>
        <w:pStyle w:val="ListParagraph"/>
        <w:numPr>
          <w:ilvl w:val="0"/>
          <w:numId w:val="4"/>
        </w:numPr>
      </w:pPr>
      <w:r w:rsidRPr="00BA45E1">
        <w:t>Reviewing the performance of each of the Investment Funds’ Investment Advisors. Required reports from Investment Advisors will include appropriate performance information, including a comparison of performance against appropriate benchmarks. Required reports from Investment Advisors will be determined on a case-by-case basis.</w:t>
      </w:r>
    </w:p>
    <w:p w14:paraId="15A13A57" w14:textId="2A61E86B" w:rsidR="00AA0C4B" w:rsidRPr="00AA0C4B" w:rsidRDefault="00AA0C4B" w:rsidP="00AA0C4B">
      <w:pPr>
        <w:pStyle w:val="ListParagraph"/>
        <w:numPr>
          <w:ilvl w:val="0"/>
          <w:numId w:val="4"/>
        </w:numPr>
      </w:pPr>
      <w:r w:rsidRPr="00AA0C4B">
        <w:t xml:space="preserve">Prescribing from time to time the place and manner of safekeeping of securities and other investments of TFF and the manner of access to and withdrawal of the securities and investments. </w:t>
      </w:r>
    </w:p>
    <w:p w14:paraId="6547D586" w14:textId="0F674CE6" w:rsidR="00AA0C4B" w:rsidRPr="00AA0C4B" w:rsidRDefault="00AA0C4B" w:rsidP="00AA0C4B">
      <w:pPr>
        <w:pStyle w:val="ListParagraph"/>
        <w:numPr>
          <w:ilvl w:val="0"/>
          <w:numId w:val="4"/>
        </w:numPr>
      </w:pPr>
      <w:r w:rsidRPr="00AA0C4B">
        <w:t xml:space="preserve"> Making Reports to the Board as follows: </w:t>
      </w:r>
    </w:p>
    <w:p w14:paraId="73B0A2C0" w14:textId="687C8308" w:rsidR="00AA0C4B" w:rsidRPr="00AA0C4B" w:rsidRDefault="00AA0C4B" w:rsidP="00AA0C4B">
      <w:pPr>
        <w:pStyle w:val="ListParagraph"/>
        <w:numPr>
          <w:ilvl w:val="1"/>
          <w:numId w:val="4"/>
        </w:numPr>
      </w:pPr>
      <w:r w:rsidRPr="00AA0C4B">
        <w:t xml:space="preserve">The </w:t>
      </w:r>
      <w:r w:rsidR="00210687">
        <w:t>Investment Advisory Committee</w:t>
      </w:r>
      <w:r w:rsidRPr="00AA0C4B">
        <w:t xml:space="preserve"> will regularly report to the Board material information regarding the Investment Funds, including performance, exposure to particular asset classes</w:t>
      </w:r>
      <w:r w:rsidR="009251E6">
        <w:t>,</w:t>
      </w:r>
      <w:r w:rsidRPr="00AA0C4B">
        <w:t xml:space="preserve"> and other relevant information. </w:t>
      </w:r>
    </w:p>
    <w:p w14:paraId="546B37F5" w14:textId="3B2EE969" w:rsidR="00AA0C4B" w:rsidRPr="00AA0C4B" w:rsidRDefault="00AA0C4B" w:rsidP="00AA0C4B">
      <w:pPr>
        <w:pStyle w:val="ListParagraph"/>
        <w:numPr>
          <w:ilvl w:val="1"/>
          <w:numId w:val="4"/>
        </w:numPr>
      </w:pPr>
      <w:r w:rsidRPr="00AA0C4B">
        <w:t xml:space="preserve">The </w:t>
      </w:r>
      <w:r w:rsidR="00210687">
        <w:t>Investment Advisory Committee</w:t>
      </w:r>
      <w:r w:rsidRPr="00AA0C4B">
        <w:t xml:space="preserve"> will report to the Board any changes it recommends to the investment guidelines for the Investment Funds from time to time. </w:t>
      </w:r>
    </w:p>
    <w:p w14:paraId="31EC6412" w14:textId="43C5253F" w:rsidR="00AA0C4B" w:rsidRDefault="00AA0C4B" w:rsidP="00AA0C4B">
      <w:pPr>
        <w:pStyle w:val="ListParagraph"/>
        <w:numPr>
          <w:ilvl w:val="0"/>
          <w:numId w:val="4"/>
        </w:numPr>
      </w:pPr>
      <w:r w:rsidRPr="00AA0C4B">
        <w:t>Oversight of the financial and cash management processes and methods utilized in the management of the Investment Funds, including the deposit and safekeeping of money, securities</w:t>
      </w:r>
      <w:r w:rsidR="009251E6">
        <w:t>,</w:t>
      </w:r>
      <w:r w:rsidRPr="00AA0C4B">
        <w:t xml:space="preserve"> and other financial and investment assets of the Investment Funds.</w:t>
      </w:r>
    </w:p>
    <w:p w14:paraId="536E2B93" w14:textId="20D7E663" w:rsidR="00AA0C4B" w:rsidRPr="00AA0C4B" w:rsidRDefault="00AA0C4B" w:rsidP="00AA0C4B">
      <w:pPr>
        <w:pStyle w:val="ListParagraph"/>
        <w:numPr>
          <w:ilvl w:val="0"/>
          <w:numId w:val="4"/>
        </w:numPr>
      </w:pPr>
      <w:r w:rsidRPr="00AA0C4B">
        <w:t xml:space="preserve">Keeping contemporaneous detailed minutes of the </w:t>
      </w:r>
      <w:r w:rsidR="00210687">
        <w:t>Investment Advisory Committee</w:t>
      </w:r>
      <w:r w:rsidRPr="00AA0C4B">
        <w:t xml:space="preserve"> meetings.</w:t>
      </w:r>
    </w:p>
    <w:p w14:paraId="448A9166" w14:textId="57D0C1A7" w:rsidR="00AA0C4B" w:rsidRDefault="00AA0C4B" w:rsidP="00AA0C4B">
      <w:pPr>
        <w:pStyle w:val="ListParagraph"/>
        <w:numPr>
          <w:ilvl w:val="0"/>
          <w:numId w:val="4"/>
        </w:numPr>
      </w:pPr>
      <w:r w:rsidRPr="00AA0C4B">
        <w:t xml:space="preserve">The carrying out of any other duties and responsibilities delegated to the </w:t>
      </w:r>
      <w:r w:rsidR="00210687">
        <w:t>Investment Advisory Committee</w:t>
      </w:r>
      <w:r w:rsidRPr="00AA0C4B">
        <w:t xml:space="preserve"> by the Board from time to time.</w:t>
      </w:r>
    </w:p>
    <w:p w14:paraId="7FBF5C8D" w14:textId="77777777" w:rsidR="00871A9D" w:rsidRDefault="00871A9D" w:rsidP="00871A9D">
      <w:pPr>
        <w:pStyle w:val="ListParagraph"/>
        <w:ind w:left="2160"/>
      </w:pPr>
    </w:p>
    <w:p w14:paraId="5F91F362" w14:textId="226D984C" w:rsidR="00871A9D" w:rsidRDefault="00871A9D" w:rsidP="00871A9D">
      <w:pPr>
        <w:pStyle w:val="ListParagraph"/>
        <w:numPr>
          <w:ilvl w:val="0"/>
          <w:numId w:val="1"/>
        </w:numPr>
        <w:rPr>
          <w:b/>
          <w:bCs/>
        </w:rPr>
      </w:pPr>
      <w:r w:rsidRPr="00871A9D">
        <w:rPr>
          <w:b/>
          <w:bCs/>
        </w:rPr>
        <w:t>Investment Objective and Considerations</w:t>
      </w:r>
    </w:p>
    <w:p w14:paraId="121AA721" w14:textId="2BDFA3DA" w:rsidR="00275F50" w:rsidRDefault="00275F50" w:rsidP="00275F50">
      <w:pPr>
        <w:pStyle w:val="ListParagraph"/>
        <w:numPr>
          <w:ilvl w:val="1"/>
          <w:numId w:val="1"/>
        </w:numPr>
      </w:pPr>
      <w:r w:rsidRPr="00275F50">
        <w:rPr>
          <w:b/>
          <w:bCs/>
        </w:rPr>
        <w:t xml:space="preserve">Objective. </w:t>
      </w:r>
      <w:r w:rsidRPr="00B2706D">
        <w:t xml:space="preserve">The funds under the purview of the </w:t>
      </w:r>
      <w:r w:rsidR="00210687">
        <w:t>Investment Advisory Committee</w:t>
      </w:r>
      <w:r w:rsidRPr="00B2706D">
        <w:t xml:space="preserve">, except those required for short-term needs, should be treated as long-term assets managed to maintain the purchasing power of those assets in the future while being mindful of the cash flow and liquidity requirements of </w:t>
      </w:r>
      <w:r w:rsidR="00B2706D">
        <w:t>TFF</w:t>
      </w:r>
      <w:r w:rsidRPr="00B2706D">
        <w:t xml:space="preserve">. Investment Funds should be invested in such a way as to help in meeting the future capital and other </w:t>
      </w:r>
      <w:r w:rsidRPr="00B2706D">
        <w:lastRenderedPageBreak/>
        <w:t xml:space="preserve">investment needs of </w:t>
      </w:r>
      <w:r w:rsidR="00831767">
        <w:t>TFF</w:t>
      </w:r>
      <w:r w:rsidRPr="00B2706D">
        <w:t xml:space="preserve">. </w:t>
      </w:r>
      <w:r w:rsidR="000E7A89">
        <w:t>TFF</w:t>
      </w:r>
      <w:r w:rsidR="00416295">
        <w:t xml:space="preserve"> has an investment horizon of ten years or longer and seeks long-term capital appreciation</w:t>
      </w:r>
      <w:r w:rsidR="00FA7B09">
        <w:t xml:space="preserve"> of its investment portfolio</w:t>
      </w:r>
      <w:r w:rsidR="00416295">
        <w:t>. Current income is a secondary consideration.</w:t>
      </w:r>
      <w:r w:rsidRPr="00B2706D">
        <w:t xml:space="preserve"> </w:t>
      </w:r>
    </w:p>
    <w:p w14:paraId="4F7F8673" w14:textId="77777777" w:rsidR="00B2706D" w:rsidRPr="00B2706D" w:rsidRDefault="00B2706D" w:rsidP="00B2706D">
      <w:pPr>
        <w:pStyle w:val="ListParagraph"/>
        <w:ind w:left="1440"/>
      </w:pPr>
    </w:p>
    <w:p w14:paraId="238A4AD9" w14:textId="63EADD7B" w:rsidR="00275F50" w:rsidRPr="00B2706D" w:rsidRDefault="00275F50" w:rsidP="00B2706D">
      <w:pPr>
        <w:pStyle w:val="ListParagraph"/>
        <w:ind w:left="1440"/>
      </w:pPr>
      <w:r w:rsidRPr="00B2706D">
        <w:t xml:space="preserve">The Board does not expect that this investment objective will be achievable every year and, as a result, will normally measure investment performance over rolling three- and five-year periods. The Board also recognizes that some level of investment risk, including volatility and illiquidity, is necessary to achieve the long-term investment objectives of </w:t>
      </w:r>
      <w:r w:rsidR="00E0455C">
        <w:t>TFF</w:t>
      </w:r>
      <w:r w:rsidRPr="00B2706D">
        <w:t xml:space="preserve">. In developing and implementing </w:t>
      </w:r>
      <w:r w:rsidR="00EC69A6">
        <w:t>TFF’s</w:t>
      </w:r>
      <w:r w:rsidRPr="00B2706D">
        <w:t xml:space="preserve"> investment program, the </w:t>
      </w:r>
      <w:r w:rsidR="00210687">
        <w:t>Investment Advisory Committee</w:t>
      </w:r>
      <w:r w:rsidRPr="00B2706D">
        <w:t xml:space="preserve"> will consider the risks associated with each investment strategy and asset class. </w:t>
      </w:r>
    </w:p>
    <w:p w14:paraId="7621C2DF" w14:textId="77777777" w:rsidR="00B2706D" w:rsidRPr="00B2706D" w:rsidRDefault="00B2706D" w:rsidP="00B2706D">
      <w:pPr>
        <w:pStyle w:val="ListParagraph"/>
        <w:ind w:left="1440"/>
      </w:pPr>
    </w:p>
    <w:p w14:paraId="33AB0CC5" w14:textId="4518C75E" w:rsidR="00AA0C4B" w:rsidRDefault="00275F50" w:rsidP="00081641">
      <w:pPr>
        <w:pStyle w:val="ListParagraph"/>
        <w:ind w:left="1440"/>
      </w:pPr>
      <w:r w:rsidRPr="00B2706D">
        <w:t xml:space="preserve">The overall return will be evaluated against a policy portfolio benchmark consisting of the sum of different asset class benchmarks weighted </w:t>
      </w:r>
      <w:r w:rsidR="00ED2294">
        <w:t>per</w:t>
      </w:r>
      <w:r w:rsidRPr="00B2706D">
        <w:t xml:space="preserve"> the long-term policy targets.</w:t>
      </w:r>
    </w:p>
    <w:p w14:paraId="152D60D8" w14:textId="77777777" w:rsidR="00713943" w:rsidRDefault="00713943" w:rsidP="00081641">
      <w:pPr>
        <w:pStyle w:val="ListParagraph"/>
        <w:ind w:left="1440"/>
      </w:pPr>
    </w:p>
    <w:p w14:paraId="1BA62E7C" w14:textId="55BE935A" w:rsidR="006713D0" w:rsidRPr="006713D0" w:rsidRDefault="00C11543" w:rsidP="006713D0">
      <w:pPr>
        <w:pStyle w:val="ListParagraph"/>
        <w:numPr>
          <w:ilvl w:val="1"/>
          <w:numId w:val="1"/>
        </w:numPr>
      </w:pPr>
      <w:r>
        <w:rPr>
          <w:b/>
          <w:bCs/>
        </w:rPr>
        <w:t xml:space="preserve">Asset Allocations. </w:t>
      </w:r>
      <w:r w:rsidR="006713D0" w:rsidRPr="006713D0">
        <w:t>The responsibility for establishing the strategic asset allocation</w:t>
      </w:r>
      <w:r w:rsidR="00FE602D">
        <w:t xml:space="preserve"> policy (“Asset Allocation”)</w:t>
      </w:r>
      <w:r w:rsidR="006713D0" w:rsidRPr="006713D0">
        <w:t xml:space="preserve"> for </w:t>
      </w:r>
      <w:r w:rsidR="00FE517C">
        <w:t xml:space="preserve">TFF </w:t>
      </w:r>
      <w:r w:rsidR="006713D0" w:rsidRPr="006713D0">
        <w:t xml:space="preserve">rests with the </w:t>
      </w:r>
      <w:r w:rsidR="00FE517C">
        <w:t>TFF Board</w:t>
      </w:r>
      <w:r w:rsidR="006713D0" w:rsidRPr="006713D0">
        <w:t>. In making asset allocation judgments, the</w:t>
      </w:r>
      <w:r w:rsidR="00DE0CE8">
        <w:t xml:space="preserve"> TFF Board and</w:t>
      </w:r>
      <w:r w:rsidR="006713D0" w:rsidRPr="006713D0">
        <w:t xml:space="preserve"> </w:t>
      </w:r>
      <w:r w:rsidR="00210687">
        <w:t>Investment Advisory Committee</w:t>
      </w:r>
      <w:r w:rsidR="006713D0" w:rsidRPr="006713D0">
        <w:t xml:space="preserve"> recognize that </w:t>
      </w:r>
      <w:r w:rsidR="005D18E6">
        <w:t>TFF</w:t>
      </w:r>
      <w:r w:rsidR="006713D0" w:rsidRPr="006713D0">
        <w:t xml:space="preserve"> must invest in a portfolio of assets that will generate a return sufficient to meet the stated objectives. </w:t>
      </w:r>
    </w:p>
    <w:p w14:paraId="5B030788" w14:textId="77777777" w:rsidR="006713D0" w:rsidRPr="006713D0" w:rsidRDefault="006713D0" w:rsidP="006713D0">
      <w:pPr>
        <w:pStyle w:val="ListParagraph"/>
        <w:ind w:left="1440"/>
      </w:pPr>
    </w:p>
    <w:p w14:paraId="5A8A99C5" w14:textId="78F107BE" w:rsidR="00713943" w:rsidRDefault="006713D0" w:rsidP="006713D0">
      <w:pPr>
        <w:pStyle w:val="ListParagraph"/>
        <w:ind w:left="1440"/>
      </w:pPr>
      <w:r w:rsidRPr="006713D0">
        <w:t>With significant allocations to asset classes that have different risk and return characteristics</w:t>
      </w:r>
      <w:r w:rsidR="00ED2294">
        <w:t>,</w:t>
      </w:r>
      <w:r w:rsidR="005D18E6">
        <w:t xml:space="preserve"> TFF</w:t>
      </w:r>
      <w:r w:rsidRPr="006713D0">
        <w:t xml:space="preserve"> maintains a highly diversified portfolio that is expected to generate strong returns and reduce volatility over the long term. </w:t>
      </w:r>
      <w:r w:rsidR="005E1104" w:rsidRPr="005E1104">
        <w:t>The Strategic Asset Allocation for the Investment Funds is shown in Exhibit A; the Investment Advisors can and will make tactical shifts to the allocation, within the allowable asset class ranges.</w:t>
      </w:r>
    </w:p>
    <w:p w14:paraId="655C6651" w14:textId="77777777" w:rsidR="00713943" w:rsidRDefault="00713943" w:rsidP="006713D0">
      <w:pPr>
        <w:pStyle w:val="ListParagraph"/>
        <w:ind w:left="1440"/>
      </w:pPr>
    </w:p>
    <w:p w14:paraId="189A702C" w14:textId="57D696FE" w:rsidR="00A0094E" w:rsidRDefault="00DA03CB" w:rsidP="00A0094E">
      <w:pPr>
        <w:pStyle w:val="ListParagraph"/>
        <w:numPr>
          <w:ilvl w:val="1"/>
          <w:numId w:val="1"/>
        </w:numPr>
        <w:rPr>
          <w:b/>
          <w:bCs/>
        </w:rPr>
      </w:pPr>
      <w:bookmarkStart w:id="0" w:name="_Hlk99634911"/>
      <w:r>
        <w:rPr>
          <w:b/>
          <w:bCs/>
        </w:rPr>
        <w:t>Investment Restrictions</w:t>
      </w:r>
      <w:r w:rsidR="00714497" w:rsidRPr="00714497">
        <w:rPr>
          <w:b/>
          <w:bCs/>
        </w:rPr>
        <w:t xml:space="preserve">. </w:t>
      </w:r>
    </w:p>
    <w:bookmarkEnd w:id="0"/>
    <w:p w14:paraId="5E6B68DC" w14:textId="0E8DC338" w:rsidR="00DA03CB" w:rsidRPr="006B3067" w:rsidRDefault="00DA03CB" w:rsidP="00DA03CB">
      <w:pPr>
        <w:pStyle w:val="ListParagraph"/>
        <w:numPr>
          <w:ilvl w:val="2"/>
          <w:numId w:val="1"/>
        </w:numPr>
        <w:rPr>
          <w:b/>
          <w:bCs/>
        </w:rPr>
      </w:pPr>
      <w:r>
        <w:rPr>
          <w:b/>
          <w:bCs/>
        </w:rPr>
        <w:t xml:space="preserve"> Diversification. </w:t>
      </w:r>
      <w:r w:rsidR="006B3067" w:rsidRPr="006B3067">
        <w:t xml:space="preserve">In general, the </w:t>
      </w:r>
      <w:r w:rsidR="00210687">
        <w:t>Investment Advisory Committee</w:t>
      </w:r>
      <w:r w:rsidR="006B3067" w:rsidRPr="006B3067">
        <w:t xml:space="preserve"> should seek to ensure an appropriate diversification of the portfolio by asset class, sector, geographic region, and by Investment Manager. </w:t>
      </w:r>
    </w:p>
    <w:p w14:paraId="044A48B5" w14:textId="02F539F0" w:rsidR="006B3067" w:rsidRPr="006F47BD" w:rsidRDefault="006B3067" w:rsidP="00DA03CB">
      <w:pPr>
        <w:pStyle w:val="ListParagraph"/>
        <w:numPr>
          <w:ilvl w:val="2"/>
          <w:numId w:val="1"/>
        </w:numPr>
        <w:rPr>
          <w:b/>
          <w:bCs/>
        </w:rPr>
      </w:pPr>
      <w:r>
        <w:rPr>
          <w:b/>
          <w:bCs/>
        </w:rPr>
        <w:t xml:space="preserve"> </w:t>
      </w:r>
      <w:r w:rsidR="007B24A6">
        <w:rPr>
          <w:b/>
          <w:bCs/>
        </w:rPr>
        <w:t xml:space="preserve">Liquidity. </w:t>
      </w:r>
      <w:r w:rsidR="007B24A6" w:rsidRPr="007B24A6">
        <w:t xml:space="preserve">It is understood that </w:t>
      </w:r>
      <w:r w:rsidR="007B24A6">
        <w:t>TFF</w:t>
      </w:r>
      <w:r w:rsidR="007B24A6" w:rsidRPr="007B24A6">
        <w:t xml:space="preserve"> must maintain a certain minimum level of liquidity that is sufficient to fund the programmatic activities of </w:t>
      </w:r>
      <w:r w:rsidR="007B24A6">
        <w:t>TFF</w:t>
      </w:r>
      <w:r w:rsidR="007B24A6" w:rsidRPr="007B24A6">
        <w:t xml:space="preserve"> as well as to fund the ongoing expenses of </w:t>
      </w:r>
      <w:r w:rsidR="007B24A6">
        <w:t>TFF.</w:t>
      </w:r>
      <w:r w:rsidR="007B24A6" w:rsidRPr="007B24A6">
        <w:t xml:space="preserve"> </w:t>
      </w:r>
      <w:r w:rsidR="00AA47EC">
        <w:t>TFF Staff monitor</w:t>
      </w:r>
      <w:r w:rsidR="007B24A6" w:rsidRPr="007B24A6">
        <w:t xml:space="preserve"> on an ongoing basis the liquidity of the Investment Funds consistent with the parameters set forth by </w:t>
      </w:r>
      <w:r w:rsidR="00AA47EC">
        <w:t xml:space="preserve">TFF’s </w:t>
      </w:r>
      <w:r w:rsidR="007F4D4A">
        <w:t xml:space="preserve">Spending, </w:t>
      </w:r>
      <w:r w:rsidR="00232162">
        <w:t>Investments, and Cash Flow Guidelines</w:t>
      </w:r>
      <w:r w:rsidR="007B24A6" w:rsidRPr="007B24A6">
        <w:t>.</w:t>
      </w:r>
    </w:p>
    <w:p w14:paraId="14BC5A1F" w14:textId="77777777" w:rsidR="006F47BD" w:rsidRPr="006F47BD" w:rsidRDefault="006F47BD" w:rsidP="006F47BD">
      <w:pPr>
        <w:pStyle w:val="ListParagraph"/>
        <w:ind w:left="2160"/>
        <w:rPr>
          <w:b/>
          <w:bCs/>
        </w:rPr>
      </w:pPr>
    </w:p>
    <w:p w14:paraId="3311996F" w14:textId="2A281610" w:rsidR="006F47BD" w:rsidRPr="00C861DF" w:rsidRDefault="006F47BD" w:rsidP="006F47BD">
      <w:pPr>
        <w:pStyle w:val="ListParagraph"/>
        <w:numPr>
          <w:ilvl w:val="1"/>
          <w:numId w:val="1"/>
        </w:numPr>
        <w:rPr>
          <w:b/>
          <w:bCs/>
        </w:rPr>
      </w:pPr>
      <w:r>
        <w:rPr>
          <w:b/>
          <w:bCs/>
        </w:rPr>
        <w:t>Performance Evaluation and Benchmarks</w:t>
      </w:r>
      <w:r w:rsidRPr="00714497">
        <w:rPr>
          <w:b/>
          <w:bCs/>
        </w:rPr>
        <w:t xml:space="preserve">. </w:t>
      </w:r>
      <w:r w:rsidR="000F177C" w:rsidRPr="000F177C">
        <w:t xml:space="preserve">The </w:t>
      </w:r>
      <w:r w:rsidR="00D97815">
        <w:t>benchmark</w:t>
      </w:r>
      <w:r w:rsidR="000F177C" w:rsidRPr="000F177C">
        <w:t xml:space="preserve"> for each asset class or subcategory </w:t>
      </w:r>
      <w:r w:rsidR="006879CC">
        <w:t>is</w:t>
      </w:r>
      <w:r w:rsidR="000F177C" w:rsidRPr="000F177C">
        <w:t xml:space="preserve"> outlined in Exhibit A. The purpose of the objectives is to establish specific, clear, consistent, fair</w:t>
      </w:r>
      <w:r w:rsidR="00457470">
        <w:t>,</w:t>
      </w:r>
      <w:r w:rsidR="000F177C" w:rsidRPr="000F177C">
        <w:t xml:space="preserve"> and rigorous parameters for regular and ongoing review. While performance is measured over both short- and long-term periods, the focus and emphasis of performance evaluation </w:t>
      </w:r>
      <w:r w:rsidR="00457470">
        <w:t>are</w:t>
      </w:r>
      <w:r w:rsidR="000F177C" w:rsidRPr="000F177C">
        <w:t xml:space="preserve"> on longer periods, generally</w:t>
      </w:r>
      <w:r w:rsidR="00457470">
        <w:t>,</w:t>
      </w:r>
      <w:r w:rsidR="000F177C" w:rsidRPr="000F177C">
        <w:t xml:space="preserve"> three- to five-year periods (once programs are fully developed) or a market cycle, whichever is greater. The </w:t>
      </w:r>
      <w:r w:rsidR="00210687">
        <w:t>Investment Advisory Committee</w:t>
      </w:r>
      <w:r w:rsidR="000F177C" w:rsidRPr="000F177C">
        <w:t xml:space="preserve"> will, with the assistance of the Investment Advisors, as applicable, monitor Investment Managers on an ongoing basis to ensure consistency of investment philosophy, implementation, organizational structure, and performance.</w:t>
      </w:r>
    </w:p>
    <w:p w14:paraId="2E498B75" w14:textId="77777777" w:rsidR="00C861DF" w:rsidRPr="00C861DF" w:rsidRDefault="00C861DF" w:rsidP="00C861DF">
      <w:pPr>
        <w:pStyle w:val="ListParagraph"/>
        <w:ind w:left="1440"/>
        <w:rPr>
          <w:b/>
          <w:bCs/>
        </w:rPr>
      </w:pPr>
    </w:p>
    <w:p w14:paraId="5A581D9B" w14:textId="14A13B24" w:rsidR="008633E9" w:rsidRPr="008633E9" w:rsidRDefault="00C861DF" w:rsidP="008633E9">
      <w:pPr>
        <w:pStyle w:val="ListParagraph"/>
        <w:numPr>
          <w:ilvl w:val="1"/>
          <w:numId w:val="1"/>
        </w:numPr>
        <w:rPr>
          <w:b/>
          <w:bCs/>
        </w:rPr>
      </w:pPr>
      <w:r>
        <w:rPr>
          <w:b/>
          <w:bCs/>
        </w:rPr>
        <w:t>Communication and Reports</w:t>
      </w:r>
      <w:r w:rsidRPr="00C861DF">
        <w:rPr>
          <w:b/>
          <w:bCs/>
        </w:rPr>
        <w:t>.</w:t>
      </w:r>
      <w:r>
        <w:rPr>
          <w:b/>
          <w:bCs/>
        </w:rPr>
        <w:t xml:space="preserve"> </w:t>
      </w:r>
    </w:p>
    <w:p w14:paraId="5B9170D7" w14:textId="4A153724" w:rsidR="00542568" w:rsidRPr="00542568" w:rsidRDefault="008633E9" w:rsidP="008633E9">
      <w:pPr>
        <w:pStyle w:val="ListParagraph"/>
        <w:numPr>
          <w:ilvl w:val="2"/>
          <w:numId w:val="1"/>
        </w:numPr>
        <w:rPr>
          <w:b/>
          <w:bCs/>
        </w:rPr>
      </w:pPr>
      <w:r>
        <w:t xml:space="preserve"> </w:t>
      </w:r>
      <w:r w:rsidRPr="008633E9">
        <w:rPr>
          <w:b/>
          <w:bCs/>
        </w:rPr>
        <w:t>Reports.</w:t>
      </w:r>
      <w:r>
        <w:t xml:space="preserve"> </w:t>
      </w:r>
      <w:r w:rsidR="00542568" w:rsidRPr="00542568">
        <w:t>The Investment Advisor, as applicable, will report</w:t>
      </w:r>
      <w:r w:rsidR="00542568">
        <w:t xml:space="preserve"> at least the following</w:t>
      </w:r>
      <w:r w:rsidR="00542568" w:rsidRPr="00542568">
        <w:t xml:space="preserve"> to the </w:t>
      </w:r>
      <w:r w:rsidR="00210687">
        <w:t>Investment Advisory Committee</w:t>
      </w:r>
      <w:r w:rsidR="00AC12EA">
        <w:t xml:space="preserve"> </w:t>
      </w:r>
      <w:r w:rsidR="008574CC">
        <w:t>quarterly</w:t>
      </w:r>
      <w:r w:rsidR="00542568">
        <w:t>:</w:t>
      </w:r>
    </w:p>
    <w:p w14:paraId="547A9705" w14:textId="1A1E6333" w:rsidR="00AC12EA" w:rsidRPr="00A05EA9" w:rsidRDefault="00AC12EA" w:rsidP="008633E9">
      <w:pPr>
        <w:pStyle w:val="ListParagraph"/>
        <w:numPr>
          <w:ilvl w:val="3"/>
          <w:numId w:val="1"/>
        </w:numPr>
      </w:pPr>
      <w:r w:rsidRPr="00A05EA9">
        <w:t xml:space="preserve"> </w:t>
      </w:r>
      <w:proofErr w:type="gramStart"/>
      <w:r w:rsidRPr="00A05EA9">
        <w:t>Performance;</w:t>
      </w:r>
      <w:proofErr w:type="gramEnd"/>
    </w:p>
    <w:p w14:paraId="0F1C05EB" w14:textId="77777777" w:rsidR="007121BF" w:rsidRPr="00A05EA9" w:rsidRDefault="007121BF" w:rsidP="008633E9">
      <w:pPr>
        <w:pStyle w:val="ListParagraph"/>
        <w:numPr>
          <w:ilvl w:val="3"/>
          <w:numId w:val="1"/>
        </w:numPr>
      </w:pPr>
      <w:r w:rsidRPr="00A05EA9">
        <w:t xml:space="preserve"> Portfolio characteristics, summarized by key investment </w:t>
      </w:r>
      <w:proofErr w:type="gramStart"/>
      <w:r w:rsidRPr="00A05EA9">
        <w:t>factors;</w:t>
      </w:r>
      <w:proofErr w:type="gramEnd"/>
      <w:r w:rsidRPr="00A05EA9">
        <w:t xml:space="preserve"> </w:t>
      </w:r>
    </w:p>
    <w:p w14:paraId="5271F887" w14:textId="76C3CCAD" w:rsidR="00A05EA9" w:rsidRPr="00A05EA9" w:rsidRDefault="007121BF" w:rsidP="008633E9">
      <w:pPr>
        <w:pStyle w:val="ListParagraph"/>
        <w:numPr>
          <w:ilvl w:val="3"/>
          <w:numId w:val="1"/>
        </w:numPr>
      </w:pPr>
      <w:r w:rsidRPr="00A05EA9">
        <w:t xml:space="preserve"> Portfolio holdings in total, where possible; </w:t>
      </w:r>
      <w:r w:rsidR="00397F84">
        <w:t>and</w:t>
      </w:r>
    </w:p>
    <w:p w14:paraId="1AD05F57" w14:textId="47C32DE4" w:rsidR="00AC12EA" w:rsidRDefault="00A05EA9" w:rsidP="00397F84">
      <w:pPr>
        <w:pStyle w:val="ListParagraph"/>
        <w:numPr>
          <w:ilvl w:val="3"/>
          <w:numId w:val="1"/>
        </w:numPr>
      </w:pPr>
      <w:r w:rsidRPr="00A05EA9">
        <w:t xml:space="preserve"> ESG rating of holdings</w:t>
      </w:r>
      <w:r w:rsidR="00397F84">
        <w:t>.</w:t>
      </w:r>
      <w:r w:rsidR="007121BF" w:rsidRPr="00A05EA9">
        <w:t xml:space="preserve"> </w:t>
      </w:r>
    </w:p>
    <w:p w14:paraId="45B756B5" w14:textId="5CA06F65" w:rsidR="007A4630" w:rsidRPr="00151511" w:rsidRDefault="008633E9" w:rsidP="009D283A">
      <w:pPr>
        <w:pStyle w:val="ListParagraph"/>
        <w:numPr>
          <w:ilvl w:val="2"/>
          <w:numId w:val="1"/>
        </w:numPr>
        <w:rPr>
          <w:b/>
          <w:bCs/>
        </w:rPr>
      </w:pPr>
      <w:r>
        <w:t xml:space="preserve"> </w:t>
      </w:r>
      <w:r w:rsidRPr="008633E9">
        <w:rPr>
          <w:b/>
          <w:bCs/>
        </w:rPr>
        <w:t xml:space="preserve">Price Changes. </w:t>
      </w:r>
      <w:r w:rsidR="00387DC3" w:rsidRPr="00387DC3">
        <w:t xml:space="preserve">Investment </w:t>
      </w:r>
      <w:r w:rsidR="00387DC3">
        <w:t>Advisors</w:t>
      </w:r>
      <w:r w:rsidR="00387DC3" w:rsidRPr="00387DC3">
        <w:t xml:space="preserve"> should be prepared to explain any positions whose price or value varies significantly relative to their cost basis, and the potential impact on the net asset value of the Investment Funds.</w:t>
      </w:r>
    </w:p>
    <w:p w14:paraId="11DE56E0" w14:textId="03AEB59D" w:rsidR="00151511" w:rsidRDefault="00151511" w:rsidP="00151511">
      <w:pPr>
        <w:pStyle w:val="ListParagraph"/>
        <w:ind w:left="2340"/>
        <w:rPr>
          <w:b/>
          <w:bCs/>
        </w:rPr>
      </w:pPr>
    </w:p>
    <w:p w14:paraId="607A02C7" w14:textId="43C975B8" w:rsidR="00C13084" w:rsidRDefault="00C13084" w:rsidP="00151511">
      <w:pPr>
        <w:pStyle w:val="ListParagraph"/>
        <w:ind w:left="2340"/>
        <w:rPr>
          <w:b/>
          <w:bCs/>
        </w:rPr>
      </w:pPr>
    </w:p>
    <w:p w14:paraId="22B5DD20" w14:textId="77777777" w:rsidR="00C13084" w:rsidRPr="00431CD2" w:rsidRDefault="00C13084" w:rsidP="00151511">
      <w:pPr>
        <w:pStyle w:val="ListParagraph"/>
        <w:ind w:left="2340"/>
        <w:rPr>
          <w:b/>
          <w:bCs/>
        </w:rPr>
      </w:pPr>
    </w:p>
    <w:p w14:paraId="329EB7CD" w14:textId="23A29FAC" w:rsidR="00A64F41" w:rsidRPr="00A64F41" w:rsidRDefault="00151511" w:rsidP="0010650C">
      <w:pPr>
        <w:pStyle w:val="ListParagraph"/>
        <w:numPr>
          <w:ilvl w:val="0"/>
          <w:numId w:val="1"/>
        </w:numPr>
      </w:pPr>
      <w:r>
        <w:rPr>
          <w:b/>
          <w:bCs/>
        </w:rPr>
        <w:t>Conflicts of Interest.</w:t>
      </w:r>
      <w:r w:rsidR="001A75B3">
        <w:rPr>
          <w:b/>
          <w:bCs/>
        </w:rPr>
        <w:t xml:space="preserve"> </w:t>
      </w:r>
    </w:p>
    <w:p w14:paraId="36A4C0EF" w14:textId="5D5C712D" w:rsidR="00A64F41" w:rsidRDefault="002B2953" w:rsidP="00284BAA">
      <w:pPr>
        <w:pStyle w:val="ListParagraph"/>
        <w:numPr>
          <w:ilvl w:val="1"/>
          <w:numId w:val="1"/>
        </w:numPr>
      </w:pPr>
      <w:r w:rsidRPr="002B2953">
        <w:rPr>
          <w:b/>
          <w:bCs/>
        </w:rPr>
        <w:t>Objective</w:t>
      </w:r>
      <w:r>
        <w:t xml:space="preserve">. </w:t>
      </w:r>
      <w:r w:rsidR="001A75B3" w:rsidRPr="001A75B3">
        <w:t xml:space="preserve">This Section of the Investment Policy is intended to provide the </w:t>
      </w:r>
      <w:r w:rsidR="00210687">
        <w:t>Investment Advisory Committee</w:t>
      </w:r>
      <w:r w:rsidR="001A75B3" w:rsidRPr="001A75B3">
        <w:t xml:space="preserve"> with a policy and procedure for addressing conflicts of interest that may arise in connection with the </w:t>
      </w:r>
      <w:r w:rsidR="00210687">
        <w:t>Investment Advisory Committee</w:t>
      </w:r>
      <w:r w:rsidR="001A75B3" w:rsidRPr="001A75B3">
        <w:t xml:space="preserve">’s discharging of its duties and responsibilities. This Section of the Investment Policy supplements, but does not replace, the </w:t>
      </w:r>
      <w:r w:rsidR="00E94D7A">
        <w:t>TFF’s</w:t>
      </w:r>
      <w:r w:rsidR="001A75B3" w:rsidRPr="001A75B3">
        <w:t xml:space="preserve"> Conflict-of-Interest Policy </w:t>
      </w:r>
      <w:r w:rsidR="00A350C6">
        <w:t>concerning</w:t>
      </w:r>
      <w:r w:rsidR="001A75B3" w:rsidRPr="001A75B3">
        <w:t xml:space="preserve"> conflicts related to matters under consideration by the </w:t>
      </w:r>
      <w:r w:rsidR="00210687">
        <w:t>Investment Advisory Committee</w:t>
      </w:r>
      <w:r w:rsidR="001A75B3" w:rsidRPr="001A75B3">
        <w:t xml:space="preserve">. </w:t>
      </w:r>
    </w:p>
    <w:p w14:paraId="071131D6" w14:textId="77777777" w:rsidR="00352D6F" w:rsidRDefault="00352D6F" w:rsidP="00352D6F">
      <w:pPr>
        <w:pStyle w:val="ListParagraph"/>
      </w:pPr>
    </w:p>
    <w:p w14:paraId="5752303B" w14:textId="52A86C71" w:rsidR="00352D6F" w:rsidRDefault="00352D6F" w:rsidP="00A64F41">
      <w:pPr>
        <w:pStyle w:val="ListParagraph"/>
        <w:numPr>
          <w:ilvl w:val="1"/>
          <w:numId w:val="1"/>
        </w:numPr>
      </w:pPr>
      <w:r w:rsidRPr="00194F45">
        <w:rPr>
          <w:b/>
          <w:bCs/>
        </w:rPr>
        <w:t>Conflict of Interest.</w:t>
      </w:r>
      <w:r>
        <w:t xml:space="preserve"> A “conflict of interest” occurs where a person is responsible for promoting the interest of the </w:t>
      </w:r>
      <w:r w:rsidR="00194F45">
        <w:t>TFF at the same time he or she is involved in a competing personal interest (financial, business, personal, or relational).</w:t>
      </w:r>
    </w:p>
    <w:p w14:paraId="325EB3DD" w14:textId="77777777" w:rsidR="00223364" w:rsidRDefault="00223364" w:rsidP="00223364">
      <w:pPr>
        <w:pStyle w:val="ListParagraph"/>
      </w:pPr>
    </w:p>
    <w:p w14:paraId="64B3BB7B" w14:textId="5F2DBEE1" w:rsidR="003C69A5" w:rsidRDefault="003C69A5" w:rsidP="003C69A5">
      <w:pPr>
        <w:pStyle w:val="ListParagraph"/>
        <w:numPr>
          <w:ilvl w:val="1"/>
          <w:numId w:val="1"/>
        </w:numPr>
      </w:pPr>
      <w:r>
        <w:rPr>
          <w:b/>
          <w:bCs/>
        </w:rPr>
        <w:t xml:space="preserve">Procedure for Disclosure. </w:t>
      </w:r>
      <w:r>
        <w:t xml:space="preserve">All </w:t>
      </w:r>
      <w:r w:rsidR="00210687">
        <w:t>Investment Advisory Committee</w:t>
      </w:r>
      <w:r>
        <w:t xml:space="preserve"> members shall disclose all real or perceived conflicts of interest that they discover or that have been brought to their attention in connection </w:t>
      </w:r>
      <w:r w:rsidR="008574CC">
        <w:t xml:space="preserve">with </w:t>
      </w:r>
      <w:r>
        <w:t xml:space="preserve">TFF’s Investment Funds and/or Investment Advisors. “Disclosure” shall mean providing properly, to the </w:t>
      </w:r>
      <w:r w:rsidR="00210687">
        <w:t>Investment Advisory Committee</w:t>
      </w:r>
      <w:r>
        <w:t xml:space="preserve"> Chair</w:t>
      </w:r>
      <w:r w:rsidR="000059FF">
        <w:t xml:space="preserve">, a signed copy of </w:t>
      </w:r>
      <w:r w:rsidR="00BD2200">
        <w:t xml:space="preserve">the </w:t>
      </w:r>
      <w:r w:rsidR="00BD2200" w:rsidRPr="00BD2200">
        <w:t>Annual Investment Conflict of Interest Disclosure Statement</w:t>
      </w:r>
      <w:r w:rsidR="00BD2200">
        <w:t xml:space="preserve"> (</w:t>
      </w:r>
      <w:r w:rsidR="000059FF">
        <w:t>Exhibit B</w:t>
      </w:r>
      <w:r w:rsidR="00BD2200">
        <w:t>)</w:t>
      </w:r>
      <w:r w:rsidR="00D35AD7">
        <w:t xml:space="preserve"> listing </w:t>
      </w:r>
      <w:r w:rsidR="00157C3A">
        <w:t xml:space="preserve">any potential conflicts of interest at least annually. Disclosure is also necessary </w:t>
      </w:r>
      <w:r w:rsidR="00BD2200">
        <w:t xml:space="preserve">at any time a conflict of interest may occur. The written </w:t>
      </w:r>
      <w:r w:rsidR="00BD2200" w:rsidRPr="00BD2200">
        <w:t>Annual Investment Conflict of Interest Disclosure Statement</w:t>
      </w:r>
      <w:r w:rsidR="00BD2200">
        <w:t xml:space="preserve">s shall be filed by TFF </w:t>
      </w:r>
      <w:proofErr w:type="gramStart"/>
      <w:r w:rsidR="00BD2200">
        <w:t>Staff</w:t>
      </w:r>
      <w:proofErr w:type="gramEnd"/>
      <w:r w:rsidR="00C26304">
        <w:t xml:space="preserve"> and all conflicts of interest shall be noted </w:t>
      </w:r>
      <w:r w:rsidR="008A53CE">
        <w:t>in</w:t>
      </w:r>
      <w:r w:rsidR="00B65619">
        <w:t xml:space="preserve"> </w:t>
      </w:r>
      <w:r w:rsidR="00210687">
        <w:t>Investment Advisory Committee</w:t>
      </w:r>
      <w:r w:rsidR="00B65619">
        <w:t xml:space="preserve"> </w:t>
      </w:r>
      <w:r w:rsidR="008A53CE">
        <w:t>minutes</w:t>
      </w:r>
      <w:r w:rsidR="00B65619">
        <w:t>.</w:t>
      </w:r>
    </w:p>
    <w:p w14:paraId="344E8116" w14:textId="77777777" w:rsidR="007A241F" w:rsidRDefault="007A241F" w:rsidP="007A241F">
      <w:pPr>
        <w:pStyle w:val="ListParagraph"/>
      </w:pPr>
    </w:p>
    <w:p w14:paraId="6DCBBB9D" w14:textId="2B0DE909" w:rsidR="00322E69" w:rsidRDefault="007A241F" w:rsidP="00322E69">
      <w:pPr>
        <w:pStyle w:val="ListParagraph"/>
        <w:numPr>
          <w:ilvl w:val="1"/>
          <w:numId w:val="1"/>
        </w:numPr>
      </w:pPr>
      <w:r w:rsidRPr="007A241F">
        <w:rPr>
          <w:b/>
          <w:bCs/>
        </w:rPr>
        <w:t>Recusal</w:t>
      </w:r>
      <w:r>
        <w:t xml:space="preserve">. </w:t>
      </w:r>
      <w:r w:rsidR="00322E69">
        <w:t xml:space="preserve">An </w:t>
      </w:r>
      <w:r w:rsidR="00210687">
        <w:t>Investment Advisory Committee</w:t>
      </w:r>
      <w:r w:rsidR="00322E69">
        <w:t xml:space="preserve"> member who believes that he or she might have a real or perceived conflict of interest, in addition to filing</w:t>
      </w:r>
      <w:r w:rsidR="00B051DB">
        <w:t xml:space="preserve"> the</w:t>
      </w:r>
      <w:r w:rsidR="00322E69">
        <w:t xml:space="preserve"> </w:t>
      </w:r>
      <w:r w:rsidR="00B051DB" w:rsidRPr="00B051DB">
        <w:t>Investment Conflict of Interest Disclosure Statement</w:t>
      </w:r>
      <w:r w:rsidR="00322E69">
        <w:t>, must abstain from</w:t>
      </w:r>
      <w:r w:rsidR="00B051DB">
        <w:t>:</w:t>
      </w:r>
    </w:p>
    <w:p w14:paraId="3BE96D06" w14:textId="49757FC2" w:rsidR="00322E69" w:rsidRDefault="00322E69" w:rsidP="00B051DB">
      <w:pPr>
        <w:pStyle w:val="ListParagraph"/>
        <w:numPr>
          <w:ilvl w:val="0"/>
          <w:numId w:val="5"/>
        </w:numPr>
      </w:pPr>
      <w:r>
        <w:t xml:space="preserve">participating in discussions or deliberations </w:t>
      </w:r>
      <w:r w:rsidR="008574CC">
        <w:t>concerning</w:t>
      </w:r>
      <w:r>
        <w:t xml:space="preserve"> the subject of the conflict (other</w:t>
      </w:r>
    </w:p>
    <w:p w14:paraId="05085AD2" w14:textId="77777777" w:rsidR="00322E69" w:rsidRDefault="00322E69" w:rsidP="00940981">
      <w:pPr>
        <w:pStyle w:val="ListParagraph"/>
        <w:ind w:left="2160"/>
      </w:pPr>
      <w:r>
        <w:t xml:space="preserve">than to present </w:t>
      </w:r>
      <w:proofErr w:type="gramStart"/>
      <w:r>
        <w:t>factual information</w:t>
      </w:r>
      <w:proofErr w:type="gramEnd"/>
      <w:r>
        <w:t xml:space="preserve"> or to answer questions),</w:t>
      </w:r>
    </w:p>
    <w:p w14:paraId="2C90E363" w14:textId="7245F697" w:rsidR="00322E69" w:rsidRDefault="00322E69" w:rsidP="00B051DB">
      <w:pPr>
        <w:pStyle w:val="ListParagraph"/>
        <w:numPr>
          <w:ilvl w:val="0"/>
          <w:numId w:val="5"/>
        </w:numPr>
      </w:pPr>
      <w:r>
        <w:t>using his or her personal influence to affect deliberations,</w:t>
      </w:r>
    </w:p>
    <w:p w14:paraId="4D70102D" w14:textId="1F7175A4" w:rsidR="00322E69" w:rsidRDefault="00322E69" w:rsidP="00B051DB">
      <w:pPr>
        <w:pStyle w:val="ListParagraph"/>
        <w:numPr>
          <w:ilvl w:val="0"/>
          <w:numId w:val="5"/>
        </w:numPr>
      </w:pPr>
      <w:r>
        <w:t>making motions,</w:t>
      </w:r>
    </w:p>
    <w:p w14:paraId="5F296590" w14:textId="6E1656B3" w:rsidR="00322E69" w:rsidRDefault="00322E69" w:rsidP="00B051DB">
      <w:pPr>
        <w:pStyle w:val="ListParagraph"/>
        <w:numPr>
          <w:ilvl w:val="0"/>
          <w:numId w:val="5"/>
        </w:numPr>
      </w:pPr>
      <w:r>
        <w:t>voting,</w:t>
      </w:r>
    </w:p>
    <w:p w14:paraId="522A2FA3" w14:textId="565994A8" w:rsidR="00322E69" w:rsidRDefault="00322E69" w:rsidP="00B051DB">
      <w:pPr>
        <w:pStyle w:val="ListParagraph"/>
        <w:numPr>
          <w:ilvl w:val="0"/>
          <w:numId w:val="5"/>
        </w:numPr>
      </w:pPr>
      <w:r>
        <w:t>executing agreements, or</w:t>
      </w:r>
    </w:p>
    <w:p w14:paraId="3782CD71" w14:textId="60F46F98" w:rsidR="00322E69" w:rsidRDefault="00322E69" w:rsidP="00940981">
      <w:pPr>
        <w:pStyle w:val="ListParagraph"/>
        <w:numPr>
          <w:ilvl w:val="0"/>
          <w:numId w:val="5"/>
        </w:numPr>
      </w:pPr>
      <w:r>
        <w:t xml:space="preserve">taking similar actions on behalf of </w:t>
      </w:r>
      <w:r w:rsidR="00871852">
        <w:t>TFF.</w:t>
      </w:r>
    </w:p>
    <w:p w14:paraId="2D1737D2" w14:textId="77777777" w:rsidR="00871852" w:rsidRDefault="00871852" w:rsidP="00871852">
      <w:pPr>
        <w:pStyle w:val="ListParagraph"/>
        <w:ind w:left="1440"/>
      </w:pPr>
    </w:p>
    <w:p w14:paraId="6AA4188B" w14:textId="74777EF2" w:rsidR="007A241F" w:rsidRDefault="00322E69" w:rsidP="0048547D">
      <w:pPr>
        <w:pStyle w:val="ListParagraph"/>
        <w:ind w:left="1440"/>
      </w:pPr>
      <w:r>
        <w:t xml:space="preserve">At the discretion of the </w:t>
      </w:r>
      <w:r w:rsidR="00210687">
        <w:t>Investment Advisory Committee</w:t>
      </w:r>
      <w:r w:rsidR="0048547D">
        <w:t xml:space="preserve"> Chair</w:t>
      </w:r>
      <w:r>
        <w:t>, a person with a real or</w:t>
      </w:r>
      <w:r w:rsidR="0048547D">
        <w:t xml:space="preserve"> </w:t>
      </w:r>
      <w:r>
        <w:t>perceived conflict of interest may be excused from all or any portion of discussion or deliberations</w:t>
      </w:r>
      <w:r w:rsidR="0048547D">
        <w:t xml:space="preserve"> </w:t>
      </w:r>
      <w:r w:rsidR="008574CC">
        <w:t>concerning</w:t>
      </w:r>
      <w:r>
        <w:t xml:space="preserve"> the subject of the conflict.</w:t>
      </w:r>
    </w:p>
    <w:p w14:paraId="4C8C6DEF" w14:textId="77777777" w:rsidR="00501631" w:rsidRPr="00501631" w:rsidRDefault="00501631" w:rsidP="00501631">
      <w:pPr>
        <w:pStyle w:val="ListParagraph"/>
        <w:ind w:left="2340"/>
        <w:rPr>
          <w:b/>
          <w:bCs/>
        </w:rPr>
      </w:pPr>
    </w:p>
    <w:p w14:paraId="49693AEF" w14:textId="636DBB10" w:rsidR="00501631" w:rsidRPr="00C26428" w:rsidRDefault="00501631" w:rsidP="00501631">
      <w:pPr>
        <w:pStyle w:val="ListParagraph"/>
        <w:numPr>
          <w:ilvl w:val="0"/>
          <w:numId w:val="1"/>
        </w:numPr>
        <w:rPr>
          <w:b/>
          <w:bCs/>
        </w:rPr>
      </w:pPr>
      <w:r>
        <w:rPr>
          <w:b/>
          <w:bCs/>
        </w:rPr>
        <w:t xml:space="preserve">Confidentiality. </w:t>
      </w:r>
      <w:r w:rsidR="0099408A" w:rsidRPr="0099408A">
        <w:t xml:space="preserve">Members of the </w:t>
      </w:r>
      <w:r w:rsidR="00210687">
        <w:t>Investment Advisory Committee</w:t>
      </w:r>
      <w:r w:rsidR="0099408A" w:rsidRPr="0099408A">
        <w:t xml:space="preserve">, </w:t>
      </w:r>
      <w:r w:rsidR="0099408A">
        <w:t>TFF Staff</w:t>
      </w:r>
      <w:r w:rsidR="00C35712">
        <w:t>,</w:t>
      </w:r>
      <w:r w:rsidR="0099408A" w:rsidRPr="0099408A">
        <w:t xml:space="preserve"> and Investment Advisors involved with investments are expected to maintain the confidentiality of information obtained by their positions. Information obtained solely by one’s position on the </w:t>
      </w:r>
      <w:r w:rsidR="00210687">
        <w:t>Investment Advisory Committee</w:t>
      </w:r>
      <w:r w:rsidR="0099408A" w:rsidRPr="0099408A">
        <w:t xml:space="preserve">, as a member of the </w:t>
      </w:r>
      <w:r w:rsidR="0099408A">
        <w:t>TFF Staff</w:t>
      </w:r>
      <w:r w:rsidR="0099408A" w:rsidRPr="0099408A">
        <w:t>, or as an Investment Advisor (and not from other sources or relationships) is not to be used for personal financial purposes.</w:t>
      </w:r>
    </w:p>
    <w:p w14:paraId="69CD59F1" w14:textId="5F95B8F4" w:rsidR="00C26428" w:rsidRDefault="00C26428" w:rsidP="00C26428"/>
    <w:p w14:paraId="266F5A6F" w14:textId="77777777" w:rsidR="00C26428" w:rsidRDefault="00C26428" w:rsidP="00C26428">
      <w:pPr>
        <w:rPr>
          <w:rFonts w:ascii="Candara" w:hAnsi="Candara"/>
          <w:b/>
          <w:bCs/>
          <w:sz w:val="36"/>
          <w:szCs w:val="36"/>
        </w:rPr>
      </w:pPr>
    </w:p>
    <w:p w14:paraId="5E1F3248" w14:textId="77777777" w:rsidR="00C26428" w:rsidRDefault="00C26428" w:rsidP="00C26428">
      <w:pPr>
        <w:rPr>
          <w:rFonts w:ascii="Candara" w:hAnsi="Candara"/>
          <w:b/>
          <w:bCs/>
          <w:sz w:val="36"/>
          <w:szCs w:val="36"/>
        </w:rPr>
      </w:pPr>
    </w:p>
    <w:p w14:paraId="18AE50A6" w14:textId="77777777" w:rsidR="008F105A" w:rsidRDefault="008F105A" w:rsidP="00394862">
      <w:pPr>
        <w:jc w:val="center"/>
        <w:rPr>
          <w:rFonts w:cstheme="minorHAnsi"/>
          <w:b/>
          <w:bCs/>
          <w:sz w:val="36"/>
          <w:szCs w:val="36"/>
        </w:rPr>
      </w:pPr>
    </w:p>
    <w:p w14:paraId="4D8481D8" w14:textId="77777777" w:rsidR="008F105A" w:rsidRDefault="008F105A" w:rsidP="00394862">
      <w:pPr>
        <w:jc w:val="center"/>
        <w:rPr>
          <w:rFonts w:cstheme="minorHAnsi"/>
          <w:b/>
          <w:bCs/>
          <w:sz w:val="36"/>
          <w:szCs w:val="36"/>
        </w:rPr>
      </w:pPr>
    </w:p>
    <w:p w14:paraId="22892D70" w14:textId="77777777" w:rsidR="008F105A" w:rsidRDefault="008F105A" w:rsidP="00394862">
      <w:pPr>
        <w:jc w:val="center"/>
        <w:rPr>
          <w:rFonts w:cstheme="minorHAnsi"/>
          <w:b/>
          <w:bCs/>
          <w:sz w:val="36"/>
          <w:szCs w:val="36"/>
        </w:rPr>
      </w:pPr>
    </w:p>
    <w:p w14:paraId="0DE55E22" w14:textId="5503956D" w:rsidR="00C26428" w:rsidRPr="00394862" w:rsidRDefault="00C26428" w:rsidP="00394862">
      <w:pPr>
        <w:jc w:val="center"/>
        <w:rPr>
          <w:rFonts w:cstheme="minorHAnsi"/>
          <w:b/>
          <w:bCs/>
          <w:sz w:val="36"/>
          <w:szCs w:val="36"/>
        </w:rPr>
      </w:pPr>
      <w:r w:rsidRPr="00394862">
        <w:rPr>
          <w:rFonts w:cstheme="minorHAnsi"/>
          <w:b/>
          <w:bCs/>
          <w:sz w:val="36"/>
          <w:szCs w:val="36"/>
        </w:rPr>
        <w:lastRenderedPageBreak/>
        <w:t>Exhibit A</w:t>
      </w:r>
    </w:p>
    <w:p w14:paraId="35DC85BF" w14:textId="6803D025" w:rsidR="00394862" w:rsidRDefault="00394862" w:rsidP="00394862">
      <w:pPr>
        <w:jc w:val="center"/>
        <w:rPr>
          <w:rFonts w:ascii="Candara" w:hAnsi="Candara"/>
          <w:b/>
          <w:bCs/>
          <w:sz w:val="36"/>
          <w:szCs w:val="36"/>
        </w:rPr>
      </w:pPr>
    </w:p>
    <w:p w14:paraId="7554FA86" w14:textId="70DB8547" w:rsidR="00394862" w:rsidRDefault="00394862" w:rsidP="00394862">
      <w:pPr>
        <w:jc w:val="center"/>
        <w:rPr>
          <w:rFonts w:cstheme="minorHAnsi"/>
          <w:b/>
          <w:bCs/>
          <w:sz w:val="28"/>
          <w:szCs w:val="28"/>
        </w:rPr>
      </w:pPr>
      <w:r w:rsidRPr="00DE269C">
        <w:rPr>
          <w:rFonts w:cstheme="minorHAnsi"/>
          <w:b/>
          <w:bCs/>
          <w:sz w:val="28"/>
          <w:szCs w:val="28"/>
        </w:rPr>
        <w:t>Strategic Asset Allocation</w:t>
      </w:r>
    </w:p>
    <w:p w14:paraId="3094D8C0" w14:textId="594BFD37" w:rsidR="005B0A33" w:rsidRDefault="005B0A33" w:rsidP="00394862">
      <w:pPr>
        <w:jc w:val="center"/>
        <w:rPr>
          <w:rFonts w:cstheme="minorHAnsi"/>
          <w:b/>
          <w:bCs/>
          <w:sz w:val="28"/>
          <w:szCs w:val="28"/>
        </w:rPr>
      </w:pPr>
    </w:p>
    <w:tbl>
      <w:tblPr>
        <w:tblStyle w:val="TableGrid"/>
        <w:tblW w:w="0" w:type="auto"/>
        <w:tblLook w:val="04A0" w:firstRow="1" w:lastRow="0" w:firstColumn="1" w:lastColumn="0" w:noHBand="0" w:noVBand="1"/>
      </w:tblPr>
      <w:tblGrid>
        <w:gridCol w:w="2605"/>
        <w:gridCol w:w="1800"/>
        <w:gridCol w:w="2250"/>
        <w:gridCol w:w="4135"/>
      </w:tblGrid>
      <w:tr w:rsidR="001C533E" w14:paraId="3C45530A" w14:textId="77777777" w:rsidTr="002C71B8">
        <w:tc>
          <w:tcPr>
            <w:tcW w:w="2605" w:type="dxa"/>
          </w:tcPr>
          <w:p w14:paraId="234994A0" w14:textId="108479C6" w:rsidR="001C533E" w:rsidRPr="002C71B8" w:rsidRDefault="001C533E" w:rsidP="005B0A33">
            <w:pPr>
              <w:rPr>
                <w:rFonts w:cstheme="minorHAnsi"/>
                <w:b/>
                <w:bCs/>
                <w:sz w:val="24"/>
                <w:szCs w:val="24"/>
              </w:rPr>
            </w:pPr>
            <w:r w:rsidRPr="002C71B8">
              <w:rPr>
                <w:rFonts w:cstheme="minorHAnsi"/>
                <w:b/>
                <w:bCs/>
                <w:sz w:val="24"/>
                <w:szCs w:val="24"/>
              </w:rPr>
              <w:t>Asset Class</w:t>
            </w:r>
          </w:p>
        </w:tc>
        <w:tc>
          <w:tcPr>
            <w:tcW w:w="1800" w:type="dxa"/>
          </w:tcPr>
          <w:p w14:paraId="58D77D37" w14:textId="4A509960" w:rsidR="001C533E" w:rsidRPr="002C71B8" w:rsidRDefault="001C533E" w:rsidP="002E590D">
            <w:pPr>
              <w:jc w:val="center"/>
              <w:rPr>
                <w:rFonts w:cstheme="minorHAnsi"/>
                <w:b/>
                <w:bCs/>
                <w:sz w:val="24"/>
                <w:szCs w:val="24"/>
              </w:rPr>
            </w:pPr>
            <w:r w:rsidRPr="002C71B8">
              <w:rPr>
                <w:rFonts w:cstheme="minorHAnsi"/>
                <w:b/>
                <w:bCs/>
                <w:sz w:val="24"/>
                <w:szCs w:val="24"/>
              </w:rPr>
              <w:t>Strategic Target</w:t>
            </w:r>
          </w:p>
        </w:tc>
        <w:tc>
          <w:tcPr>
            <w:tcW w:w="2250" w:type="dxa"/>
          </w:tcPr>
          <w:p w14:paraId="5DEB7E92" w14:textId="3B48BD3E" w:rsidR="001C533E" w:rsidRPr="002C71B8" w:rsidRDefault="001C533E" w:rsidP="002E590D">
            <w:pPr>
              <w:jc w:val="center"/>
              <w:rPr>
                <w:rFonts w:cstheme="minorHAnsi"/>
                <w:b/>
                <w:bCs/>
                <w:sz w:val="24"/>
                <w:szCs w:val="24"/>
              </w:rPr>
            </w:pPr>
            <w:r w:rsidRPr="002C71B8">
              <w:rPr>
                <w:rFonts w:cstheme="minorHAnsi"/>
                <w:b/>
                <w:bCs/>
                <w:sz w:val="24"/>
                <w:szCs w:val="24"/>
              </w:rPr>
              <w:t>Portfolio Allocation</w:t>
            </w:r>
          </w:p>
        </w:tc>
        <w:tc>
          <w:tcPr>
            <w:tcW w:w="4135" w:type="dxa"/>
          </w:tcPr>
          <w:p w14:paraId="2E638DD8" w14:textId="24AE34EF" w:rsidR="001C533E" w:rsidRPr="002C71B8" w:rsidRDefault="002E590D" w:rsidP="002E590D">
            <w:pPr>
              <w:jc w:val="center"/>
              <w:rPr>
                <w:rFonts w:cstheme="minorHAnsi"/>
                <w:b/>
                <w:bCs/>
                <w:sz w:val="24"/>
                <w:szCs w:val="24"/>
              </w:rPr>
            </w:pPr>
            <w:r w:rsidRPr="002C71B8">
              <w:rPr>
                <w:rFonts w:cstheme="minorHAnsi"/>
                <w:b/>
                <w:bCs/>
                <w:sz w:val="24"/>
                <w:szCs w:val="24"/>
              </w:rPr>
              <w:t>Benchmark</w:t>
            </w:r>
          </w:p>
        </w:tc>
      </w:tr>
      <w:tr w:rsidR="001C533E" w14:paraId="7A2C48F0" w14:textId="77777777" w:rsidTr="002C71B8">
        <w:tc>
          <w:tcPr>
            <w:tcW w:w="2605" w:type="dxa"/>
            <w:shd w:val="clear" w:color="auto" w:fill="D0CECE" w:themeFill="background2" w:themeFillShade="E6"/>
          </w:tcPr>
          <w:p w14:paraId="4A8F699E" w14:textId="323BD0B6" w:rsidR="001C533E" w:rsidRPr="005B2FF1" w:rsidRDefault="002E590D" w:rsidP="005B0A33">
            <w:pPr>
              <w:rPr>
                <w:rFonts w:cstheme="minorHAnsi"/>
                <w:sz w:val="24"/>
                <w:szCs w:val="24"/>
              </w:rPr>
            </w:pPr>
            <w:r w:rsidRPr="005B2FF1">
              <w:rPr>
                <w:rFonts w:cstheme="minorHAnsi"/>
                <w:sz w:val="24"/>
                <w:szCs w:val="24"/>
              </w:rPr>
              <w:t>Equity</w:t>
            </w:r>
          </w:p>
        </w:tc>
        <w:tc>
          <w:tcPr>
            <w:tcW w:w="1800" w:type="dxa"/>
            <w:shd w:val="clear" w:color="auto" w:fill="D0CECE" w:themeFill="background2" w:themeFillShade="E6"/>
          </w:tcPr>
          <w:p w14:paraId="7AD3BB12" w14:textId="2467BF58" w:rsidR="001C533E" w:rsidRPr="005B2FF1" w:rsidRDefault="00AF0776" w:rsidP="00AF0776">
            <w:pPr>
              <w:jc w:val="center"/>
              <w:rPr>
                <w:rFonts w:cstheme="minorHAnsi"/>
                <w:b/>
                <w:bCs/>
                <w:sz w:val="24"/>
                <w:szCs w:val="24"/>
              </w:rPr>
            </w:pPr>
            <w:r w:rsidRPr="005B2FF1">
              <w:rPr>
                <w:rFonts w:cstheme="minorHAnsi"/>
                <w:b/>
                <w:bCs/>
                <w:sz w:val="24"/>
                <w:szCs w:val="24"/>
              </w:rPr>
              <w:t>70%</w:t>
            </w:r>
          </w:p>
        </w:tc>
        <w:tc>
          <w:tcPr>
            <w:tcW w:w="2250" w:type="dxa"/>
            <w:shd w:val="clear" w:color="auto" w:fill="D0CECE" w:themeFill="background2" w:themeFillShade="E6"/>
          </w:tcPr>
          <w:p w14:paraId="27BC983A" w14:textId="427F20FB" w:rsidR="001C533E" w:rsidRPr="005B2FF1" w:rsidRDefault="005F6E36" w:rsidP="00AF0776">
            <w:pPr>
              <w:jc w:val="center"/>
              <w:rPr>
                <w:rFonts w:cstheme="minorHAnsi"/>
                <w:b/>
                <w:bCs/>
                <w:sz w:val="24"/>
                <w:szCs w:val="24"/>
              </w:rPr>
            </w:pPr>
            <w:r w:rsidRPr="005B2FF1">
              <w:rPr>
                <w:rFonts w:cstheme="minorHAnsi"/>
                <w:b/>
                <w:bCs/>
                <w:sz w:val="24"/>
                <w:szCs w:val="24"/>
              </w:rPr>
              <w:t>55 – 85%</w:t>
            </w:r>
          </w:p>
        </w:tc>
        <w:tc>
          <w:tcPr>
            <w:tcW w:w="4135" w:type="dxa"/>
            <w:shd w:val="clear" w:color="auto" w:fill="D0CECE" w:themeFill="background2" w:themeFillShade="E6"/>
          </w:tcPr>
          <w:p w14:paraId="0928B820" w14:textId="16C7FEB6" w:rsidR="001C533E" w:rsidRPr="00905ED1" w:rsidRDefault="001A0FB6" w:rsidP="00AF0776">
            <w:pPr>
              <w:jc w:val="center"/>
              <w:rPr>
                <w:rFonts w:cstheme="minorHAnsi"/>
                <w:b/>
                <w:bCs/>
              </w:rPr>
            </w:pPr>
            <w:r w:rsidRPr="00905ED1">
              <w:rPr>
                <w:rFonts w:cstheme="minorHAnsi"/>
                <w:b/>
                <w:bCs/>
              </w:rPr>
              <w:t>MSCI AC World Index</w:t>
            </w:r>
          </w:p>
        </w:tc>
      </w:tr>
      <w:tr w:rsidR="001C533E" w14:paraId="65D89B09" w14:textId="77777777" w:rsidTr="002C71B8">
        <w:tc>
          <w:tcPr>
            <w:tcW w:w="2605" w:type="dxa"/>
          </w:tcPr>
          <w:p w14:paraId="0FF70A90" w14:textId="6B48286F" w:rsidR="001C533E" w:rsidRPr="005B2FF1" w:rsidRDefault="002E590D" w:rsidP="005B0A33">
            <w:pPr>
              <w:rPr>
                <w:rFonts w:cstheme="minorHAnsi"/>
                <w:sz w:val="24"/>
                <w:szCs w:val="24"/>
              </w:rPr>
            </w:pPr>
            <w:r w:rsidRPr="005B2FF1">
              <w:rPr>
                <w:rFonts w:cstheme="minorHAnsi"/>
                <w:sz w:val="24"/>
                <w:szCs w:val="24"/>
              </w:rPr>
              <w:t>U.S.</w:t>
            </w:r>
          </w:p>
        </w:tc>
        <w:tc>
          <w:tcPr>
            <w:tcW w:w="1800" w:type="dxa"/>
          </w:tcPr>
          <w:p w14:paraId="135CF508" w14:textId="0C99E107" w:rsidR="001C533E" w:rsidRPr="005B2FF1" w:rsidRDefault="00AF0776" w:rsidP="00AF0776">
            <w:pPr>
              <w:jc w:val="center"/>
              <w:rPr>
                <w:rFonts w:cstheme="minorHAnsi"/>
                <w:sz w:val="24"/>
                <w:szCs w:val="24"/>
              </w:rPr>
            </w:pPr>
            <w:r w:rsidRPr="005B2FF1">
              <w:rPr>
                <w:rFonts w:cstheme="minorHAnsi"/>
                <w:sz w:val="24"/>
                <w:szCs w:val="24"/>
              </w:rPr>
              <w:t>38%</w:t>
            </w:r>
          </w:p>
        </w:tc>
        <w:tc>
          <w:tcPr>
            <w:tcW w:w="2250" w:type="dxa"/>
          </w:tcPr>
          <w:p w14:paraId="7030E8A7" w14:textId="596E6B7B" w:rsidR="001C533E" w:rsidRPr="005B2FF1" w:rsidRDefault="005F6E36" w:rsidP="00AF0776">
            <w:pPr>
              <w:jc w:val="center"/>
              <w:rPr>
                <w:rFonts w:cstheme="minorHAnsi"/>
                <w:sz w:val="24"/>
                <w:szCs w:val="24"/>
              </w:rPr>
            </w:pPr>
            <w:r w:rsidRPr="005B2FF1">
              <w:rPr>
                <w:rFonts w:cstheme="minorHAnsi"/>
                <w:sz w:val="24"/>
                <w:szCs w:val="24"/>
              </w:rPr>
              <w:t>23 – 53%</w:t>
            </w:r>
          </w:p>
        </w:tc>
        <w:tc>
          <w:tcPr>
            <w:tcW w:w="4135" w:type="dxa"/>
          </w:tcPr>
          <w:p w14:paraId="1F5A4A14" w14:textId="77777777" w:rsidR="001C533E" w:rsidRPr="00905ED1" w:rsidRDefault="001C533E" w:rsidP="00AF0776">
            <w:pPr>
              <w:jc w:val="center"/>
              <w:rPr>
                <w:rFonts w:cstheme="minorHAnsi"/>
                <w:b/>
                <w:bCs/>
              </w:rPr>
            </w:pPr>
          </w:p>
        </w:tc>
      </w:tr>
      <w:tr w:rsidR="001C533E" w14:paraId="4CCB250B" w14:textId="77777777" w:rsidTr="002C71B8">
        <w:tc>
          <w:tcPr>
            <w:tcW w:w="2605" w:type="dxa"/>
          </w:tcPr>
          <w:p w14:paraId="41C083D5" w14:textId="47A26962" w:rsidR="001C533E" w:rsidRPr="005B2FF1" w:rsidRDefault="002E590D" w:rsidP="005B0A33">
            <w:pPr>
              <w:rPr>
                <w:rFonts w:cstheme="minorHAnsi"/>
                <w:sz w:val="24"/>
                <w:szCs w:val="24"/>
              </w:rPr>
            </w:pPr>
            <w:r w:rsidRPr="005B2FF1">
              <w:rPr>
                <w:rFonts w:cstheme="minorHAnsi"/>
                <w:sz w:val="24"/>
                <w:szCs w:val="24"/>
              </w:rPr>
              <w:t xml:space="preserve">     U.S. Large Cap</w:t>
            </w:r>
          </w:p>
        </w:tc>
        <w:tc>
          <w:tcPr>
            <w:tcW w:w="1800" w:type="dxa"/>
          </w:tcPr>
          <w:p w14:paraId="118E5ADF" w14:textId="7B81CCEF" w:rsidR="001C533E" w:rsidRPr="005B2FF1" w:rsidRDefault="006A2B24" w:rsidP="00AF0776">
            <w:pPr>
              <w:jc w:val="center"/>
              <w:rPr>
                <w:rFonts w:cstheme="minorHAnsi"/>
                <w:sz w:val="24"/>
                <w:szCs w:val="24"/>
              </w:rPr>
            </w:pPr>
            <w:r w:rsidRPr="005B2FF1">
              <w:rPr>
                <w:rFonts w:cstheme="minorHAnsi"/>
                <w:sz w:val="24"/>
                <w:szCs w:val="24"/>
              </w:rPr>
              <w:t>33%</w:t>
            </w:r>
          </w:p>
        </w:tc>
        <w:tc>
          <w:tcPr>
            <w:tcW w:w="2250" w:type="dxa"/>
          </w:tcPr>
          <w:p w14:paraId="1D40E459" w14:textId="257F54E6" w:rsidR="001C533E" w:rsidRPr="005B2FF1" w:rsidRDefault="005F6E36" w:rsidP="00AF0776">
            <w:pPr>
              <w:jc w:val="center"/>
              <w:rPr>
                <w:rFonts w:cstheme="minorHAnsi"/>
                <w:sz w:val="24"/>
                <w:szCs w:val="24"/>
              </w:rPr>
            </w:pPr>
            <w:r w:rsidRPr="005B2FF1">
              <w:rPr>
                <w:rFonts w:cstheme="minorHAnsi"/>
                <w:sz w:val="24"/>
                <w:szCs w:val="24"/>
              </w:rPr>
              <w:t>18 – 48%</w:t>
            </w:r>
          </w:p>
        </w:tc>
        <w:tc>
          <w:tcPr>
            <w:tcW w:w="4135" w:type="dxa"/>
          </w:tcPr>
          <w:p w14:paraId="5D84DACF" w14:textId="3288735B" w:rsidR="001C533E" w:rsidRPr="00905ED1" w:rsidRDefault="001A0FB6" w:rsidP="00AF0776">
            <w:pPr>
              <w:jc w:val="center"/>
              <w:rPr>
                <w:rFonts w:cstheme="minorHAnsi"/>
                <w:b/>
                <w:bCs/>
              </w:rPr>
            </w:pPr>
            <w:r w:rsidRPr="00905ED1">
              <w:rPr>
                <w:rFonts w:cstheme="minorHAnsi"/>
                <w:b/>
                <w:bCs/>
              </w:rPr>
              <w:t>S &amp; P 500</w:t>
            </w:r>
          </w:p>
        </w:tc>
      </w:tr>
      <w:tr w:rsidR="001C533E" w14:paraId="3754BB3B" w14:textId="77777777" w:rsidTr="002C71B8">
        <w:tc>
          <w:tcPr>
            <w:tcW w:w="2605" w:type="dxa"/>
          </w:tcPr>
          <w:p w14:paraId="2858FBC7" w14:textId="20B09B3D" w:rsidR="001C533E" w:rsidRPr="005B2FF1" w:rsidRDefault="002E590D" w:rsidP="005B0A33">
            <w:pPr>
              <w:rPr>
                <w:rFonts w:cstheme="minorHAnsi"/>
                <w:sz w:val="24"/>
                <w:szCs w:val="24"/>
              </w:rPr>
            </w:pPr>
            <w:r w:rsidRPr="005B2FF1">
              <w:rPr>
                <w:rFonts w:cstheme="minorHAnsi"/>
                <w:sz w:val="24"/>
                <w:szCs w:val="24"/>
              </w:rPr>
              <w:t xml:space="preserve">     U.S. Mid Cap</w:t>
            </w:r>
          </w:p>
        </w:tc>
        <w:tc>
          <w:tcPr>
            <w:tcW w:w="1800" w:type="dxa"/>
          </w:tcPr>
          <w:p w14:paraId="78BFC088" w14:textId="3C68EAE0" w:rsidR="001C533E" w:rsidRPr="005B2FF1" w:rsidRDefault="006A2B24" w:rsidP="00AF0776">
            <w:pPr>
              <w:jc w:val="center"/>
              <w:rPr>
                <w:rFonts w:cstheme="minorHAnsi"/>
                <w:sz w:val="24"/>
                <w:szCs w:val="24"/>
              </w:rPr>
            </w:pPr>
            <w:r w:rsidRPr="005B2FF1">
              <w:rPr>
                <w:rFonts w:cstheme="minorHAnsi"/>
                <w:sz w:val="24"/>
                <w:szCs w:val="24"/>
              </w:rPr>
              <w:t>5%</w:t>
            </w:r>
          </w:p>
        </w:tc>
        <w:tc>
          <w:tcPr>
            <w:tcW w:w="2250" w:type="dxa"/>
          </w:tcPr>
          <w:p w14:paraId="6F4A06EE" w14:textId="66AA0946" w:rsidR="001C533E" w:rsidRPr="005B2FF1" w:rsidRDefault="005F6E36" w:rsidP="00AF0776">
            <w:pPr>
              <w:jc w:val="center"/>
              <w:rPr>
                <w:rFonts w:cstheme="minorHAnsi"/>
                <w:sz w:val="24"/>
                <w:szCs w:val="24"/>
              </w:rPr>
            </w:pPr>
            <w:r w:rsidRPr="005B2FF1">
              <w:rPr>
                <w:rFonts w:cstheme="minorHAnsi"/>
                <w:sz w:val="24"/>
                <w:szCs w:val="24"/>
              </w:rPr>
              <w:t>0 – 15%</w:t>
            </w:r>
          </w:p>
        </w:tc>
        <w:tc>
          <w:tcPr>
            <w:tcW w:w="4135" w:type="dxa"/>
          </w:tcPr>
          <w:p w14:paraId="05F8DD76" w14:textId="4D5B13AA" w:rsidR="001C533E" w:rsidRPr="00905ED1" w:rsidRDefault="001A0FB6" w:rsidP="00AF0776">
            <w:pPr>
              <w:jc w:val="center"/>
              <w:rPr>
                <w:rFonts w:cstheme="minorHAnsi"/>
                <w:b/>
                <w:bCs/>
              </w:rPr>
            </w:pPr>
            <w:r w:rsidRPr="00905ED1">
              <w:rPr>
                <w:rFonts w:cstheme="minorHAnsi"/>
                <w:b/>
                <w:bCs/>
              </w:rPr>
              <w:t>Russell Mid Cap</w:t>
            </w:r>
          </w:p>
        </w:tc>
      </w:tr>
      <w:tr w:rsidR="001C533E" w14:paraId="07129DA5" w14:textId="77777777" w:rsidTr="002C71B8">
        <w:tc>
          <w:tcPr>
            <w:tcW w:w="2605" w:type="dxa"/>
          </w:tcPr>
          <w:p w14:paraId="489F8539" w14:textId="24ABA0F6" w:rsidR="001C533E" w:rsidRPr="005B2FF1" w:rsidRDefault="002E590D" w:rsidP="005B0A33">
            <w:pPr>
              <w:rPr>
                <w:rFonts w:cstheme="minorHAnsi"/>
                <w:sz w:val="24"/>
                <w:szCs w:val="24"/>
              </w:rPr>
            </w:pPr>
            <w:r w:rsidRPr="005B2FF1">
              <w:rPr>
                <w:rFonts w:cstheme="minorHAnsi"/>
                <w:sz w:val="24"/>
                <w:szCs w:val="24"/>
              </w:rPr>
              <w:t xml:space="preserve">     U.S. Small Cap</w:t>
            </w:r>
          </w:p>
        </w:tc>
        <w:tc>
          <w:tcPr>
            <w:tcW w:w="1800" w:type="dxa"/>
          </w:tcPr>
          <w:p w14:paraId="2AC6BDCA" w14:textId="375BAC89" w:rsidR="001C533E" w:rsidRPr="005B2FF1" w:rsidRDefault="00D1221A" w:rsidP="00AF0776">
            <w:pPr>
              <w:jc w:val="center"/>
              <w:rPr>
                <w:rFonts w:cstheme="minorHAnsi"/>
                <w:sz w:val="24"/>
                <w:szCs w:val="24"/>
              </w:rPr>
            </w:pPr>
            <w:r w:rsidRPr="005B2FF1">
              <w:rPr>
                <w:rFonts w:cstheme="minorHAnsi"/>
                <w:sz w:val="24"/>
                <w:szCs w:val="24"/>
              </w:rPr>
              <w:t>0%</w:t>
            </w:r>
          </w:p>
        </w:tc>
        <w:tc>
          <w:tcPr>
            <w:tcW w:w="2250" w:type="dxa"/>
          </w:tcPr>
          <w:p w14:paraId="256BBF4F" w14:textId="776A6CD3" w:rsidR="001C533E" w:rsidRPr="005B2FF1" w:rsidRDefault="005F6E36" w:rsidP="00AF0776">
            <w:pPr>
              <w:jc w:val="center"/>
              <w:rPr>
                <w:rFonts w:cstheme="minorHAnsi"/>
                <w:sz w:val="24"/>
                <w:szCs w:val="24"/>
              </w:rPr>
            </w:pPr>
            <w:r w:rsidRPr="005B2FF1">
              <w:rPr>
                <w:rFonts w:cstheme="minorHAnsi"/>
                <w:sz w:val="24"/>
                <w:szCs w:val="24"/>
              </w:rPr>
              <w:t>0 – 10%</w:t>
            </w:r>
          </w:p>
        </w:tc>
        <w:tc>
          <w:tcPr>
            <w:tcW w:w="4135" w:type="dxa"/>
          </w:tcPr>
          <w:p w14:paraId="3196F3C5" w14:textId="46504807" w:rsidR="001C533E" w:rsidRPr="00905ED1" w:rsidRDefault="001A0FB6" w:rsidP="00AF0776">
            <w:pPr>
              <w:jc w:val="center"/>
              <w:rPr>
                <w:rFonts w:cstheme="minorHAnsi"/>
                <w:b/>
                <w:bCs/>
              </w:rPr>
            </w:pPr>
            <w:r w:rsidRPr="00905ED1">
              <w:rPr>
                <w:rFonts w:cstheme="minorHAnsi"/>
                <w:b/>
                <w:bCs/>
              </w:rPr>
              <w:t>Russell 2000</w:t>
            </w:r>
          </w:p>
        </w:tc>
      </w:tr>
      <w:tr w:rsidR="001C533E" w14:paraId="07CAAF1B" w14:textId="77777777" w:rsidTr="002C71B8">
        <w:tc>
          <w:tcPr>
            <w:tcW w:w="2605" w:type="dxa"/>
          </w:tcPr>
          <w:p w14:paraId="70366495" w14:textId="0142B2E6" w:rsidR="001C533E" w:rsidRPr="005B2FF1" w:rsidRDefault="002E590D" w:rsidP="005B0A33">
            <w:pPr>
              <w:rPr>
                <w:rFonts w:cstheme="minorHAnsi"/>
                <w:sz w:val="24"/>
                <w:szCs w:val="24"/>
              </w:rPr>
            </w:pPr>
            <w:r w:rsidRPr="005B2FF1">
              <w:rPr>
                <w:rFonts w:cstheme="minorHAnsi"/>
                <w:sz w:val="24"/>
                <w:szCs w:val="24"/>
              </w:rPr>
              <w:t>International Developed</w:t>
            </w:r>
          </w:p>
        </w:tc>
        <w:tc>
          <w:tcPr>
            <w:tcW w:w="1800" w:type="dxa"/>
          </w:tcPr>
          <w:p w14:paraId="71BD9752" w14:textId="2AADA247" w:rsidR="001C533E" w:rsidRPr="005B2FF1" w:rsidRDefault="00D1221A" w:rsidP="00AF0776">
            <w:pPr>
              <w:jc w:val="center"/>
              <w:rPr>
                <w:rFonts w:cstheme="minorHAnsi"/>
                <w:sz w:val="24"/>
                <w:szCs w:val="24"/>
              </w:rPr>
            </w:pPr>
            <w:r w:rsidRPr="005B2FF1">
              <w:rPr>
                <w:rFonts w:cstheme="minorHAnsi"/>
                <w:sz w:val="24"/>
                <w:szCs w:val="24"/>
              </w:rPr>
              <w:t>24%</w:t>
            </w:r>
          </w:p>
        </w:tc>
        <w:tc>
          <w:tcPr>
            <w:tcW w:w="2250" w:type="dxa"/>
          </w:tcPr>
          <w:p w14:paraId="116313E9" w14:textId="3D331C50" w:rsidR="001C533E" w:rsidRPr="005B2FF1" w:rsidRDefault="00364E44" w:rsidP="00AF0776">
            <w:pPr>
              <w:jc w:val="center"/>
              <w:rPr>
                <w:rFonts w:cstheme="minorHAnsi"/>
                <w:sz w:val="24"/>
                <w:szCs w:val="24"/>
              </w:rPr>
            </w:pPr>
            <w:r w:rsidRPr="005B2FF1">
              <w:rPr>
                <w:rFonts w:cstheme="minorHAnsi"/>
                <w:sz w:val="24"/>
                <w:szCs w:val="24"/>
              </w:rPr>
              <w:t>9 – 39%</w:t>
            </w:r>
          </w:p>
        </w:tc>
        <w:tc>
          <w:tcPr>
            <w:tcW w:w="4135" w:type="dxa"/>
          </w:tcPr>
          <w:p w14:paraId="20FF9382" w14:textId="13EFFB42" w:rsidR="001C533E" w:rsidRPr="00905ED1" w:rsidRDefault="001A0FB6" w:rsidP="00AF0776">
            <w:pPr>
              <w:jc w:val="center"/>
              <w:rPr>
                <w:rFonts w:cstheme="minorHAnsi"/>
                <w:b/>
                <w:bCs/>
              </w:rPr>
            </w:pPr>
            <w:r w:rsidRPr="00905ED1">
              <w:rPr>
                <w:rFonts w:cstheme="minorHAnsi"/>
                <w:b/>
                <w:bCs/>
              </w:rPr>
              <w:t>MSCI EAFE</w:t>
            </w:r>
          </w:p>
        </w:tc>
      </w:tr>
      <w:tr w:rsidR="001C533E" w14:paraId="2D9B5614" w14:textId="77777777" w:rsidTr="002C71B8">
        <w:tc>
          <w:tcPr>
            <w:tcW w:w="2605" w:type="dxa"/>
          </w:tcPr>
          <w:p w14:paraId="05AC603A" w14:textId="5243197E" w:rsidR="001C533E" w:rsidRPr="005B2FF1" w:rsidRDefault="002E590D" w:rsidP="005B0A33">
            <w:pPr>
              <w:rPr>
                <w:rFonts w:cstheme="minorHAnsi"/>
                <w:sz w:val="24"/>
                <w:szCs w:val="24"/>
              </w:rPr>
            </w:pPr>
            <w:r w:rsidRPr="005B2FF1">
              <w:rPr>
                <w:rFonts w:cstheme="minorHAnsi"/>
                <w:sz w:val="24"/>
                <w:szCs w:val="24"/>
              </w:rPr>
              <w:t>Emerging Markets</w:t>
            </w:r>
          </w:p>
        </w:tc>
        <w:tc>
          <w:tcPr>
            <w:tcW w:w="1800" w:type="dxa"/>
          </w:tcPr>
          <w:p w14:paraId="40F43423" w14:textId="7E0D4BD5" w:rsidR="001C533E" w:rsidRPr="005B2FF1" w:rsidRDefault="00D1221A" w:rsidP="00AF0776">
            <w:pPr>
              <w:jc w:val="center"/>
              <w:rPr>
                <w:rFonts w:cstheme="minorHAnsi"/>
                <w:sz w:val="24"/>
                <w:szCs w:val="24"/>
              </w:rPr>
            </w:pPr>
            <w:r w:rsidRPr="005B2FF1">
              <w:rPr>
                <w:rFonts w:cstheme="minorHAnsi"/>
                <w:sz w:val="24"/>
                <w:szCs w:val="24"/>
              </w:rPr>
              <w:t>8%</w:t>
            </w:r>
          </w:p>
        </w:tc>
        <w:tc>
          <w:tcPr>
            <w:tcW w:w="2250" w:type="dxa"/>
          </w:tcPr>
          <w:p w14:paraId="7380FCDA" w14:textId="3B15B251" w:rsidR="001C533E" w:rsidRPr="005B2FF1" w:rsidRDefault="00364E44" w:rsidP="00AF0776">
            <w:pPr>
              <w:jc w:val="center"/>
              <w:rPr>
                <w:rFonts w:cstheme="minorHAnsi"/>
                <w:sz w:val="24"/>
                <w:szCs w:val="24"/>
              </w:rPr>
            </w:pPr>
            <w:r w:rsidRPr="005B2FF1">
              <w:rPr>
                <w:rFonts w:cstheme="minorHAnsi"/>
                <w:sz w:val="24"/>
                <w:szCs w:val="24"/>
              </w:rPr>
              <w:t>0 – 15%</w:t>
            </w:r>
          </w:p>
        </w:tc>
        <w:tc>
          <w:tcPr>
            <w:tcW w:w="4135" w:type="dxa"/>
          </w:tcPr>
          <w:p w14:paraId="367124BE" w14:textId="43F288D5" w:rsidR="001C533E" w:rsidRPr="00905ED1" w:rsidRDefault="00754589" w:rsidP="00AF0776">
            <w:pPr>
              <w:jc w:val="center"/>
              <w:rPr>
                <w:rFonts w:cstheme="minorHAnsi"/>
                <w:b/>
                <w:bCs/>
              </w:rPr>
            </w:pPr>
            <w:r w:rsidRPr="00905ED1">
              <w:rPr>
                <w:rFonts w:cstheme="minorHAnsi"/>
                <w:b/>
                <w:bCs/>
              </w:rPr>
              <w:t>MSCI Emerging Markets</w:t>
            </w:r>
          </w:p>
        </w:tc>
      </w:tr>
      <w:tr w:rsidR="002E590D" w14:paraId="19DD7402" w14:textId="77777777" w:rsidTr="002C71B8">
        <w:tc>
          <w:tcPr>
            <w:tcW w:w="2605" w:type="dxa"/>
            <w:shd w:val="clear" w:color="auto" w:fill="D0CECE" w:themeFill="background2" w:themeFillShade="E6"/>
          </w:tcPr>
          <w:p w14:paraId="145709BF" w14:textId="363341B6" w:rsidR="002E590D" w:rsidRPr="005B2FF1" w:rsidRDefault="002E590D" w:rsidP="005B0A33">
            <w:pPr>
              <w:rPr>
                <w:rFonts w:cstheme="minorHAnsi"/>
                <w:sz w:val="24"/>
                <w:szCs w:val="24"/>
              </w:rPr>
            </w:pPr>
            <w:r w:rsidRPr="005B2FF1">
              <w:rPr>
                <w:rFonts w:cstheme="minorHAnsi"/>
                <w:sz w:val="24"/>
                <w:szCs w:val="24"/>
              </w:rPr>
              <w:t>Alternatives</w:t>
            </w:r>
          </w:p>
        </w:tc>
        <w:tc>
          <w:tcPr>
            <w:tcW w:w="1800" w:type="dxa"/>
            <w:shd w:val="clear" w:color="auto" w:fill="D0CECE" w:themeFill="background2" w:themeFillShade="E6"/>
          </w:tcPr>
          <w:p w14:paraId="6A1D8F65" w14:textId="64339BB8" w:rsidR="002E590D" w:rsidRPr="005B2FF1" w:rsidRDefault="00D1221A" w:rsidP="00AF0776">
            <w:pPr>
              <w:jc w:val="center"/>
              <w:rPr>
                <w:rFonts w:cstheme="minorHAnsi"/>
                <w:b/>
                <w:bCs/>
                <w:sz w:val="24"/>
                <w:szCs w:val="24"/>
              </w:rPr>
            </w:pPr>
            <w:r w:rsidRPr="005B2FF1">
              <w:rPr>
                <w:rFonts w:cstheme="minorHAnsi"/>
                <w:b/>
                <w:bCs/>
                <w:sz w:val="24"/>
                <w:szCs w:val="24"/>
              </w:rPr>
              <w:t>5%</w:t>
            </w:r>
          </w:p>
        </w:tc>
        <w:tc>
          <w:tcPr>
            <w:tcW w:w="2250" w:type="dxa"/>
            <w:shd w:val="clear" w:color="auto" w:fill="D0CECE" w:themeFill="background2" w:themeFillShade="E6"/>
          </w:tcPr>
          <w:p w14:paraId="0B12F993" w14:textId="40338EF3" w:rsidR="002E590D" w:rsidRPr="005B2FF1" w:rsidRDefault="00364E44" w:rsidP="00AF0776">
            <w:pPr>
              <w:jc w:val="center"/>
              <w:rPr>
                <w:rFonts w:cstheme="minorHAnsi"/>
                <w:b/>
                <w:bCs/>
                <w:sz w:val="24"/>
                <w:szCs w:val="24"/>
              </w:rPr>
            </w:pPr>
            <w:r w:rsidRPr="005B2FF1">
              <w:rPr>
                <w:rFonts w:cstheme="minorHAnsi"/>
                <w:b/>
                <w:bCs/>
                <w:sz w:val="24"/>
                <w:szCs w:val="24"/>
              </w:rPr>
              <w:t>0 – 20%</w:t>
            </w:r>
          </w:p>
        </w:tc>
        <w:tc>
          <w:tcPr>
            <w:tcW w:w="4135" w:type="dxa"/>
            <w:shd w:val="clear" w:color="auto" w:fill="D0CECE" w:themeFill="background2" w:themeFillShade="E6"/>
          </w:tcPr>
          <w:p w14:paraId="71FD34BF" w14:textId="77777777" w:rsidR="002E590D" w:rsidRPr="00905ED1" w:rsidRDefault="002E590D" w:rsidP="00AF0776">
            <w:pPr>
              <w:jc w:val="center"/>
              <w:rPr>
                <w:rFonts w:cstheme="minorHAnsi"/>
                <w:b/>
                <w:bCs/>
              </w:rPr>
            </w:pPr>
          </w:p>
        </w:tc>
      </w:tr>
      <w:tr w:rsidR="002E590D" w14:paraId="1F79D41A" w14:textId="77777777" w:rsidTr="002C71B8">
        <w:tc>
          <w:tcPr>
            <w:tcW w:w="2605" w:type="dxa"/>
          </w:tcPr>
          <w:p w14:paraId="773E26A0" w14:textId="0D2639EA" w:rsidR="002E590D" w:rsidRPr="005B2FF1" w:rsidRDefault="002E590D" w:rsidP="005B0A33">
            <w:pPr>
              <w:rPr>
                <w:rFonts w:cstheme="minorHAnsi"/>
                <w:sz w:val="24"/>
                <w:szCs w:val="24"/>
              </w:rPr>
            </w:pPr>
            <w:r w:rsidRPr="005B2FF1">
              <w:rPr>
                <w:rFonts w:cstheme="minorHAnsi"/>
                <w:sz w:val="24"/>
                <w:szCs w:val="24"/>
              </w:rPr>
              <w:t>REITS</w:t>
            </w:r>
          </w:p>
        </w:tc>
        <w:tc>
          <w:tcPr>
            <w:tcW w:w="1800" w:type="dxa"/>
          </w:tcPr>
          <w:p w14:paraId="265CB4C6" w14:textId="643C5576" w:rsidR="002E590D" w:rsidRPr="005B2FF1" w:rsidRDefault="00D1221A" w:rsidP="00AF0776">
            <w:pPr>
              <w:jc w:val="center"/>
              <w:rPr>
                <w:rFonts w:cstheme="minorHAnsi"/>
                <w:sz w:val="24"/>
                <w:szCs w:val="24"/>
              </w:rPr>
            </w:pPr>
            <w:r w:rsidRPr="005B2FF1">
              <w:rPr>
                <w:rFonts w:cstheme="minorHAnsi"/>
                <w:sz w:val="24"/>
                <w:szCs w:val="24"/>
              </w:rPr>
              <w:t>3%</w:t>
            </w:r>
          </w:p>
        </w:tc>
        <w:tc>
          <w:tcPr>
            <w:tcW w:w="2250" w:type="dxa"/>
          </w:tcPr>
          <w:p w14:paraId="4D8FD217" w14:textId="2E0CAA80" w:rsidR="002E590D" w:rsidRPr="005B2FF1" w:rsidRDefault="00364E44" w:rsidP="00AF0776">
            <w:pPr>
              <w:jc w:val="center"/>
              <w:rPr>
                <w:rFonts w:cstheme="minorHAnsi"/>
                <w:sz w:val="24"/>
                <w:szCs w:val="24"/>
              </w:rPr>
            </w:pPr>
            <w:r w:rsidRPr="005B2FF1">
              <w:rPr>
                <w:rFonts w:cstheme="minorHAnsi"/>
                <w:sz w:val="24"/>
                <w:szCs w:val="24"/>
              </w:rPr>
              <w:t>0 – 10%</w:t>
            </w:r>
          </w:p>
        </w:tc>
        <w:tc>
          <w:tcPr>
            <w:tcW w:w="4135" w:type="dxa"/>
          </w:tcPr>
          <w:p w14:paraId="217BA51B" w14:textId="244B7487" w:rsidR="002E590D" w:rsidRPr="00905ED1" w:rsidRDefault="00754589" w:rsidP="00AF0776">
            <w:pPr>
              <w:jc w:val="center"/>
              <w:rPr>
                <w:rFonts w:cstheme="minorHAnsi"/>
                <w:b/>
                <w:bCs/>
              </w:rPr>
            </w:pPr>
            <w:r w:rsidRPr="00905ED1">
              <w:rPr>
                <w:rFonts w:cstheme="minorHAnsi"/>
                <w:b/>
                <w:bCs/>
              </w:rPr>
              <w:t>NAREIT Equity Index</w:t>
            </w:r>
          </w:p>
        </w:tc>
      </w:tr>
      <w:tr w:rsidR="002E590D" w14:paraId="1121AD8C" w14:textId="77777777" w:rsidTr="002C71B8">
        <w:tc>
          <w:tcPr>
            <w:tcW w:w="2605" w:type="dxa"/>
          </w:tcPr>
          <w:p w14:paraId="7DA4925C" w14:textId="02B3E128" w:rsidR="002E590D" w:rsidRPr="005B2FF1" w:rsidRDefault="002E590D" w:rsidP="005B0A33">
            <w:pPr>
              <w:rPr>
                <w:rFonts w:cstheme="minorHAnsi"/>
                <w:sz w:val="24"/>
                <w:szCs w:val="24"/>
              </w:rPr>
            </w:pPr>
            <w:r w:rsidRPr="005B2FF1">
              <w:rPr>
                <w:rFonts w:cstheme="minorHAnsi"/>
                <w:sz w:val="24"/>
                <w:szCs w:val="24"/>
              </w:rPr>
              <w:t>Hard Assets</w:t>
            </w:r>
          </w:p>
        </w:tc>
        <w:tc>
          <w:tcPr>
            <w:tcW w:w="1800" w:type="dxa"/>
          </w:tcPr>
          <w:p w14:paraId="2D8FC05E" w14:textId="26A33586" w:rsidR="002E590D" w:rsidRPr="005B2FF1" w:rsidRDefault="00D1221A" w:rsidP="00AF0776">
            <w:pPr>
              <w:jc w:val="center"/>
              <w:rPr>
                <w:rFonts w:cstheme="minorHAnsi"/>
                <w:sz w:val="24"/>
                <w:szCs w:val="24"/>
              </w:rPr>
            </w:pPr>
            <w:r w:rsidRPr="005B2FF1">
              <w:rPr>
                <w:rFonts w:cstheme="minorHAnsi"/>
                <w:sz w:val="24"/>
                <w:szCs w:val="24"/>
              </w:rPr>
              <w:t>2%</w:t>
            </w:r>
          </w:p>
        </w:tc>
        <w:tc>
          <w:tcPr>
            <w:tcW w:w="2250" w:type="dxa"/>
          </w:tcPr>
          <w:p w14:paraId="7ED3B42E" w14:textId="62AB4ECD" w:rsidR="002E590D" w:rsidRPr="005B2FF1" w:rsidRDefault="00364E44" w:rsidP="00AF0776">
            <w:pPr>
              <w:jc w:val="center"/>
              <w:rPr>
                <w:rFonts w:cstheme="minorHAnsi"/>
                <w:sz w:val="24"/>
                <w:szCs w:val="24"/>
              </w:rPr>
            </w:pPr>
            <w:r w:rsidRPr="005B2FF1">
              <w:rPr>
                <w:rFonts w:cstheme="minorHAnsi"/>
                <w:sz w:val="24"/>
                <w:szCs w:val="24"/>
              </w:rPr>
              <w:t>0 – 10%</w:t>
            </w:r>
          </w:p>
        </w:tc>
        <w:tc>
          <w:tcPr>
            <w:tcW w:w="4135" w:type="dxa"/>
          </w:tcPr>
          <w:p w14:paraId="1AB44758" w14:textId="41F03F4E" w:rsidR="002E590D" w:rsidRPr="00905ED1" w:rsidRDefault="00754589" w:rsidP="00AF0776">
            <w:pPr>
              <w:jc w:val="center"/>
              <w:rPr>
                <w:rFonts w:cstheme="minorHAnsi"/>
                <w:b/>
                <w:bCs/>
              </w:rPr>
            </w:pPr>
            <w:r w:rsidRPr="00905ED1">
              <w:rPr>
                <w:rFonts w:cstheme="minorHAnsi"/>
                <w:b/>
                <w:bCs/>
              </w:rPr>
              <w:t>Bloomberg Commodity Index</w:t>
            </w:r>
          </w:p>
        </w:tc>
      </w:tr>
      <w:tr w:rsidR="002E590D" w14:paraId="2D268513" w14:textId="77777777" w:rsidTr="002C71B8">
        <w:tc>
          <w:tcPr>
            <w:tcW w:w="2605" w:type="dxa"/>
            <w:shd w:val="clear" w:color="auto" w:fill="D0CECE" w:themeFill="background2" w:themeFillShade="E6"/>
          </w:tcPr>
          <w:p w14:paraId="14FBCB67" w14:textId="182F610D" w:rsidR="002E590D" w:rsidRPr="005B2FF1" w:rsidRDefault="002E590D" w:rsidP="005B0A33">
            <w:pPr>
              <w:rPr>
                <w:rFonts w:cstheme="minorHAnsi"/>
                <w:sz w:val="24"/>
                <w:szCs w:val="24"/>
              </w:rPr>
            </w:pPr>
            <w:r w:rsidRPr="005B2FF1">
              <w:rPr>
                <w:rFonts w:cstheme="minorHAnsi"/>
                <w:sz w:val="24"/>
                <w:szCs w:val="24"/>
              </w:rPr>
              <w:t>Fixed Income &amp; Cash</w:t>
            </w:r>
          </w:p>
        </w:tc>
        <w:tc>
          <w:tcPr>
            <w:tcW w:w="1800" w:type="dxa"/>
            <w:shd w:val="clear" w:color="auto" w:fill="D0CECE" w:themeFill="background2" w:themeFillShade="E6"/>
          </w:tcPr>
          <w:p w14:paraId="1AB6EABD" w14:textId="1E4A8386" w:rsidR="002E590D" w:rsidRPr="005B2FF1" w:rsidRDefault="00D1221A" w:rsidP="00AF0776">
            <w:pPr>
              <w:jc w:val="center"/>
              <w:rPr>
                <w:rFonts w:cstheme="minorHAnsi"/>
                <w:b/>
                <w:bCs/>
                <w:sz w:val="24"/>
                <w:szCs w:val="24"/>
              </w:rPr>
            </w:pPr>
            <w:r w:rsidRPr="005B2FF1">
              <w:rPr>
                <w:rFonts w:cstheme="minorHAnsi"/>
                <w:b/>
                <w:bCs/>
                <w:sz w:val="24"/>
                <w:szCs w:val="24"/>
              </w:rPr>
              <w:t>25%</w:t>
            </w:r>
          </w:p>
        </w:tc>
        <w:tc>
          <w:tcPr>
            <w:tcW w:w="2250" w:type="dxa"/>
            <w:shd w:val="clear" w:color="auto" w:fill="D0CECE" w:themeFill="background2" w:themeFillShade="E6"/>
          </w:tcPr>
          <w:p w14:paraId="7658109A" w14:textId="6FB66D60" w:rsidR="002E590D" w:rsidRPr="005B2FF1" w:rsidRDefault="00364E44" w:rsidP="00AF0776">
            <w:pPr>
              <w:jc w:val="center"/>
              <w:rPr>
                <w:rFonts w:cstheme="minorHAnsi"/>
                <w:b/>
                <w:bCs/>
                <w:sz w:val="24"/>
                <w:szCs w:val="24"/>
              </w:rPr>
            </w:pPr>
            <w:r w:rsidRPr="005B2FF1">
              <w:rPr>
                <w:rFonts w:cstheme="minorHAnsi"/>
                <w:b/>
                <w:bCs/>
                <w:sz w:val="24"/>
                <w:szCs w:val="24"/>
              </w:rPr>
              <w:t>10 – 40%</w:t>
            </w:r>
          </w:p>
        </w:tc>
        <w:tc>
          <w:tcPr>
            <w:tcW w:w="4135" w:type="dxa"/>
            <w:shd w:val="clear" w:color="auto" w:fill="D0CECE" w:themeFill="background2" w:themeFillShade="E6"/>
          </w:tcPr>
          <w:p w14:paraId="2B81C9C6" w14:textId="08452BD8" w:rsidR="002E590D" w:rsidRPr="00905ED1" w:rsidRDefault="005B2FF1" w:rsidP="00AF0776">
            <w:pPr>
              <w:jc w:val="center"/>
              <w:rPr>
                <w:rFonts w:cstheme="minorHAnsi"/>
                <w:b/>
                <w:bCs/>
              </w:rPr>
            </w:pPr>
            <w:r w:rsidRPr="00905ED1">
              <w:rPr>
                <w:rFonts w:cstheme="minorHAnsi"/>
                <w:b/>
                <w:bCs/>
              </w:rPr>
              <w:t>Barclays Bloomberg U.S. Aggregate Index</w:t>
            </w:r>
          </w:p>
        </w:tc>
      </w:tr>
    </w:tbl>
    <w:p w14:paraId="533DFB0D" w14:textId="3B17E21F" w:rsidR="005B0A33" w:rsidRDefault="005B0A33" w:rsidP="005B0A33">
      <w:pPr>
        <w:rPr>
          <w:rFonts w:cstheme="minorHAnsi"/>
          <w:b/>
          <w:bCs/>
          <w:sz w:val="28"/>
          <w:szCs w:val="28"/>
        </w:rPr>
      </w:pPr>
    </w:p>
    <w:p w14:paraId="3D26B0BB" w14:textId="77777777" w:rsidR="005B0A33" w:rsidRPr="00DE269C" w:rsidRDefault="005B0A33" w:rsidP="005B0A33">
      <w:pPr>
        <w:rPr>
          <w:rFonts w:cstheme="minorHAnsi"/>
          <w:b/>
          <w:bCs/>
          <w:sz w:val="28"/>
          <w:szCs w:val="28"/>
        </w:rPr>
      </w:pPr>
    </w:p>
    <w:p w14:paraId="4E46346D" w14:textId="7396D05D" w:rsidR="00394862" w:rsidRDefault="00394862" w:rsidP="00394862">
      <w:pPr>
        <w:jc w:val="center"/>
        <w:rPr>
          <w:rFonts w:cstheme="minorHAnsi"/>
          <w:b/>
          <w:bCs/>
        </w:rPr>
      </w:pPr>
    </w:p>
    <w:p w14:paraId="402D645D" w14:textId="062702FA" w:rsidR="008F105A" w:rsidRDefault="008F105A" w:rsidP="001E09B8">
      <w:pPr>
        <w:jc w:val="center"/>
        <w:rPr>
          <w:rFonts w:cstheme="minorHAnsi"/>
          <w:b/>
          <w:bCs/>
          <w:sz w:val="36"/>
          <w:szCs w:val="36"/>
        </w:rPr>
      </w:pPr>
    </w:p>
    <w:p w14:paraId="6EDD03ED" w14:textId="2FEC8A4B" w:rsidR="008F105A" w:rsidRDefault="008F105A" w:rsidP="001E09B8">
      <w:pPr>
        <w:jc w:val="center"/>
        <w:rPr>
          <w:rFonts w:cstheme="minorHAnsi"/>
          <w:b/>
          <w:bCs/>
          <w:sz w:val="36"/>
          <w:szCs w:val="36"/>
        </w:rPr>
      </w:pPr>
    </w:p>
    <w:p w14:paraId="20822801" w14:textId="3C457027" w:rsidR="008F105A" w:rsidRDefault="008F105A" w:rsidP="001E09B8">
      <w:pPr>
        <w:jc w:val="center"/>
        <w:rPr>
          <w:rFonts w:cstheme="minorHAnsi"/>
          <w:b/>
          <w:bCs/>
          <w:sz w:val="36"/>
          <w:szCs w:val="36"/>
        </w:rPr>
      </w:pPr>
    </w:p>
    <w:p w14:paraId="40B4F806" w14:textId="3E4A0FCF" w:rsidR="001E09B8" w:rsidRDefault="001E09B8" w:rsidP="001E09B8">
      <w:pPr>
        <w:jc w:val="center"/>
        <w:rPr>
          <w:rFonts w:cstheme="minorHAnsi"/>
          <w:b/>
          <w:bCs/>
          <w:sz w:val="36"/>
          <w:szCs w:val="36"/>
        </w:rPr>
      </w:pPr>
    </w:p>
    <w:p w14:paraId="3A4D46BA" w14:textId="77777777" w:rsidR="0088126E" w:rsidRDefault="0088126E" w:rsidP="001E09B8">
      <w:pPr>
        <w:jc w:val="center"/>
        <w:rPr>
          <w:rFonts w:cstheme="minorHAnsi"/>
          <w:b/>
          <w:bCs/>
          <w:sz w:val="36"/>
          <w:szCs w:val="36"/>
        </w:rPr>
      </w:pPr>
    </w:p>
    <w:p w14:paraId="54D3DFAC" w14:textId="5F389ADB" w:rsidR="0064640E" w:rsidRDefault="0064640E" w:rsidP="001E09B8">
      <w:pPr>
        <w:jc w:val="center"/>
        <w:rPr>
          <w:rFonts w:cstheme="minorHAnsi"/>
          <w:b/>
          <w:bCs/>
          <w:sz w:val="36"/>
          <w:szCs w:val="36"/>
        </w:rPr>
      </w:pPr>
    </w:p>
    <w:p w14:paraId="1999A771" w14:textId="36B95266" w:rsidR="0064640E" w:rsidRDefault="0064640E" w:rsidP="001E09B8">
      <w:pPr>
        <w:jc w:val="center"/>
        <w:rPr>
          <w:rFonts w:cstheme="minorHAnsi"/>
          <w:b/>
          <w:bCs/>
          <w:sz w:val="36"/>
          <w:szCs w:val="36"/>
        </w:rPr>
      </w:pPr>
    </w:p>
    <w:p w14:paraId="7E9ADD4E" w14:textId="1628F9C4" w:rsidR="0064640E" w:rsidRDefault="0064640E" w:rsidP="001E09B8">
      <w:pPr>
        <w:jc w:val="center"/>
        <w:rPr>
          <w:rFonts w:cstheme="minorHAnsi"/>
          <w:b/>
          <w:bCs/>
          <w:sz w:val="36"/>
          <w:szCs w:val="36"/>
        </w:rPr>
      </w:pPr>
    </w:p>
    <w:p w14:paraId="3D029491" w14:textId="270A59A4" w:rsidR="0064640E" w:rsidRDefault="0064640E" w:rsidP="001E09B8">
      <w:pPr>
        <w:jc w:val="center"/>
        <w:rPr>
          <w:rFonts w:cstheme="minorHAnsi"/>
          <w:b/>
          <w:bCs/>
          <w:sz w:val="36"/>
          <w:szCs w:val="36"/>
        </w:rPr>
      </w:pPr>
    </w:p>
    <w:p w14:paraId="531DAFAF" w14:textId="34E9B4E0" w:rsidR="0064640E" w:rsidRDefault="0064640E" w:rsidP="001E09B8">
      <w:pPr>
        <w:jc w:val="center"/>
        <w:rPr>
          <w:rFonts w:cstheme="minorHAnsi"/>
          <w:b/>
          <w:bCs/>
          <w:sz w:val="36"/>
          <w:szCs w:val="36"/>
        </w:rPr>
      </w:pPr>
    </w:p>
    <w:p w14:paraId="04CCC939" w14:textId="3F504D00" w:rsidR="0064640E" w:rsidRDefault="0064640E" w:rsidP="001E09B8">
      <w:pPr>
        <w:jc w:val="center"/>
        <w:rPr>
          <w:rFonts w:cstheme="minorHAnsi"/>
          <w:b/>
          <w:bCs/>
          <w:sz w:val="36"/>
          <w:szCs w:val="36"/>
        </w:rPr>
      </w:pPr>
    </w:p>
    <w:p w14:paraId="06A6C2CF" w14:textId="0AC0740E" w:rsidR="0064640E" w:rsidRDefault="0064640E" w:rsidP="001E09B8">
      <w:pPr>
        <w:jc w:val="center"/>
        <w:rPr>
          <w:rFonts w:cstheme="minorHAnsi"/>
          <w:b/>
          <w:bCs/>
          <w:sz w:val="36"/>
          <w:szCs w:val="36"/>
        </w:rPr>
      </w:pPr>
    </w:p>
    <w:p w14:paraId="1430F3A3" w14:textId="34FF70AF" w:rsidR="00A552E2" w:rsidRDefault="00A552E2" w:rsidP="001E09B8">
      <w:pPr>
        <w:jc w:val="center"/>
        <w:rPr>
          <w:rFonts w:cstheme="minorHAnsi"/>
          <w:b/>
          <w:bCs/>
          <w:sz w:val="36"/>
          <w:szCs w:val="36"/>
        </w:rPr>
      </w:pPr>
    </w:p>
    <w:p w14:paraId="4692B374" w14:textId="04FB46BB" w:rsidR="00A552E2" w:rsidRDefault="00A552E2" w:rsidP="001E09B8">
      <w:pPr>
        <w:jc w:val="center"/>
        <w:rPr>
          <w:rFonts w:cstheme="minorHAnsi"/>
          <w:b/>
          <w:bCs/>
          <w:sz w:val="36"/>
          <w:szCs w:val="36"/>
        </w:rPr>
      </w:pPr>
    </w:p>
    <w:p w14:paraId="36D52264" w14:textId="2995217C" w:rsidR="00A552E2" w:rsidRDefault="00A552E2" w:rsidP="001E09B8">
      <w:pPr>
        <w:jc w:val="center"/>
        <w:rPr>
          <w:rFonts w:cstheme="minorHAnsi"/>
          <w:b/>
          <w:bCs/>
          <w:sz w:val="36"/>
          <w:szCs w:val="36"/>
        </w:rPr>
      </w:pPr>
    </w:p>
    <w:p w14:paraId="59324CA4" w14:textId="79B30B10" w:rsidR="00A552E2" w:rsidRDefault="00A552E2" w:rsidP="001E09B8">
      <w:pPr>
        <w:jc w:val="center"/>
        <w:rPr>
          <w:rFonts w:cstheme="minorHAnsi"/>
          <w:b/>
          <w:bCs/>
          <w:sz w:val="36"/>
          <w:szCs w:val="36"/>
        </w:rPr>
      </w:pPr>
    </w:p>
    <w:p w14:paraId="64BC5CB2" w14:textId="293D0A7B" w:rsidR="00A552E2" w:rsidRDefault="00A552E2" w:rsidP="001E09B8">
      <w:pPr>
        <w:jc w:val="center"/>
        <w:rPr>
          <w:rFonts w:cstheme="minorHAnsi"/>
          <w:b/>
          <w:bCs/>
          <w:sz w:val="36"/>
          <w:szCs w:val="36"/>
        </w:rPr>
      </w:pPr>
    </w:p>
    <w:p w14:paraId="6160DFF4" w14:textId="77777777" w:rsidR="00A552E2" w:rsidRDefault="00A552E2" w:rsidP="001E09B8">
      <w:pPr>
        <w:jc w:val="center"/>
        <w:rPr>
          <w:rFonts w:cstheme="minorHAnsi"/>
          <w:b/>
          <w:bCs/>
          <w:sz w:val="36"/>
          <w:szCs w:val="36"/>
        </w:rPr>
      </w:pPr>
    </w:p>
    <w:p w14:paraId="7A8E41D2" w14:textId="6561CE78" w:rsidR="001E09B8" w:rsidRDefault="001E09B8" w:rsidP="001E09B8">
      <w:pPr>
        <w:jc w:val="center"/>
        <w:rPr>
          <w:rFonts w:cstheme="minorHAnsi"/>
          <w:b/>
          <w:bCs/>
          <w:sz w:val="36"/>
          <w:szCs w:val="36"/>
        </w:rPr>
      </w:pPr>
      <w:r w:rsidRPr="00394862">
        <w:rPr>
          <w:rFonts w:cstheme="minorHAnsi"/>
          <w:b/>
          <w:bCs/>
          <w:sz w:val="36"/>
          <w:szCs w:val="36"/>
        </w:rPr>
        <w:lastRenderedPageBreak/>
        <w:t xml:space="preserve">Exhibit </w:t>
      </w:r>
      <w:r>
        <w:rPr>
          <w:rFonts w:cstheme="minorHAnsi"/>
          <w:b/>
          <w:bCs/>
          <w:sz w:val="36"/>
          <w:szCs w:val="36"/>
        </w:rPr>
        <w:t>B</w:t>
      </w:r>
    </w:p>
    <w:p w14:paraId="743ABFA9" w14:textId="77777777" w:rsidR="00C13084" w:rsidRPr="00394862" w:rsidRDefault="00C13084" w:rsidP="001E09B8">
      <w:pPr>
        <w:jc w:val="center"/>
        <w:rPr>
          <w:rFonts w:cstheme="minorHAnsi"/>
          <w:b/>
          <w:bCs/>
          <w:sz w:val="36"/>
          <w:szCs w:val="36"/>
        </w:rPr>
      </w:pPr>
    </w:p>
    <w:p w14:paraId="481843E1" w14:textId="0442C7AD" w:rsidR="001E09B8" w:rsidRPr="00C13084" w:rsidRDefault="001E09B8" w:rsidP="001E09B8">
      <w:pPr>
        <w:autoSpaceDE w:val="0"/>
        <w:autoSpaceDN w:val="0"/>
        <w:adjustRightInd w:val="0"/>
        <w:jc w:val="center"/>
        <w:rPr>
          <w:rFonts w:cstheme="minorHAnsi"/>
          <w:color w:val="000000"/>
          <w:sz w:val="28"/>
          <w:szCs w:val="28"/>
        </w:rPr>
      </w:pPr>
      <w:r w:rsidRPr="00C13084">
        <w:rPr>
          <w:rFonts w:cstheme="minorHAnsi"/>
          <w:b/>
          <w:bCs/>
          <w:color w:val="000000"/>
          <w:sz w:val="28"/>
          <w:szCs w:val="28"/>
        </w:rPr>
        <w:t>Annual Investment Conflict of Interest Disclosure Statement</w:t>
      </w:r>
    </w:p>
    <w:p w14:paraId="51C1E641" w14:textId="77777777" w:rsidR="001E09B8" w:rsidRDefault="001E09B8" w:rsidP="001E09B8">
      <w:pPr>
        <w:autoSpaceDE w:val="0"/>
        <w:autoSpaceDN w:val="0"/>
        <w:adjustRightInd w:val="0"/>
        <w:rPr>
          <w:rFonts w:ascii="Times New Roman" w:hAnsi="Times New Roman" w:cs="Times New Roman"/>
          <w:color w:val="000000"/>
          <w:sz w:val="23"/>
          <w:szCs w:val="23"/>
        </w:rPr>
      </w:pPr>
    </w:p>
    <w:p w14:paraId="65F0E56E" w14:textId="10F2E82E" w:rsidR="001E09B8" w:rsidRPr="001E09B8" w:rsidRDefault="001E09B8" w:rsidP="001E09B8">
      <w:pPr>
        <w:autoSpaceDE w:val="0"/>
        <w:autoSpaceDN w:val="0"/>
        <w:adjustRightInd w:val="0"/>
        <w:rPr>
          <w:rFonts w:cstheme="minorHAnsi"/>
          <w:color w:val="000000"/>
          <w:sz w:val="23"/>
          <w:szCs w:val="23"/>
        </w:rPr>
      </w:pPr>
      <w:r w:rsidRPr="001E09B8">
        <w:rPr>
          <w:rFonts w:cstheme="minorHAnsi"/>
          <w:color w:val="000000"/>
          <w:sz w:val="23"/>
          <w:szCs w:val="23"/>
        </w:rPr>
        <w:t xml:space="preserve">Name: </w:t>
      </w:r>
    </w:p>
    <w:p w14:paraId="41A883B5" w14:textId="77777777" w:rsidR="001E09B8" w:rsidRPr="000C45F4" w:rsidRDefault="001E09B8" w:rsidP="001E09B8">
      <w:pPr>
        <w:autoSpaceDE w:val="0"/>
        <w:autoSpaceDN w:val="0"/>
        <w:adjustRightInd w:val="0"/>
        <w:rPr>
          <w:rFonts w:cstheme="minorHAnsi"/>
          <w:color w:val="000000"/>
          <w:sz w:val="23"/>
          <w:szCs w:val="23"/>
        </w:rPr>
      </w:pPr>
    </w:p>
    <w:p w14:paraId="72FCBDBB" w14:textId="77777777" w:rsidR="001E09B8" w:rsidRPr="001E09B8" w:rsidRDefault="001E09B8" w:rsidP="001E09B8">
      <w:pPr>
        <w:autoSpaceDE w:val="0"/>
        <w:autoSpaceDN w:val="0"/>
        <w:adjustRightInd w:val="0"/>
        <w:rPr>
          <w:rFonts w:cstheme="minorHAnsi"/>
          <w:color w:val="000000"/>
          <w:sz w:val="23"/>
          <w:szCs w:val="23"/>
        </w:rPr>
      </w:pPr>
    </w:p>
    <w:p w14:paraId="1923DDA5" w14:textId="63BC4B45" w:rsidR="000C45F4" w:rsidRDefault="00B91553" w:rsidP="001E09B8">
      <w:pPr>
        <w:autoSpaceDE w:val="0"/>
        <w:autoSpaceDN w:val="0"/>
        <w:adjustRightInd w:val="0"/>
        <w:rPr>
          <w:rFonts w:cstheme="minorHAnsi"/>
          <w:color w:val="000000"/>
          <w:sz w:val="23"/>
          <w:szCs w:val="23"/>
        </w:rPr>
      </w:pPr>
      <w:r>
        <w:rPr>
          <w:rFonts w:cstheme="minorHAnsi"/>
          <w:color w:val="000000"/>
          <w:sz w:val="23"/>
          <w:szCs w:val="23"/>
        </w:rPr>
        <w:t xml:space="preserve">I have read and understand the TFF Investment Policy, including </w:t>
      </w:r>
      <w:r w:rsidR="005B000B">
        <w:rPr>
          <w:rFonts w:cstheme="minorHAnsi"/>
          <w:color w:val="000000"/>
          <w:sz w:val="23"/>
          <w:szCs w:val="23"/>
        </w:rPr>
        <w:t>Section IV, Conflict of Interest. I hereby declare and certify the following real or perceived conflict(s) of interest:</w:t>
      </w:r>
    </w:p>
    <w:p w14:paraId="10D1E808" w14:textId="77777777" w:rsidR="00B91553" w:rsidRPr="001E09B8" w:rsidRDefault="00B91553" w:rsidP="001E09B8">
      <w:pPr>
        <w:autoSpaceDE w:val="0"/>
        <w:autoSpaceDN w:val="0"/>
        <w:adjustRightInd w:val="0"/>
        <w:rPr>
          <w:rFonts w:cstheme="minorHAnsi"/>
          <w:color w:val="000000"/>
          <w:sz w:val="23"/>
          <w:szCs w:val="23"/>
        </w:rPr>
      </w:pPr>
    </w:p>
    <w:p w14:paraId="24372A60" w14:textId="4EF67084" w:rsidR="000C45F4" w:rsidRPr="005975F1" w:rsidRDefault="005975F1" w:rsidP="001E09B8">
      <w:pPr>
        <w:autoSpaceDE w:val="0"/>
        <w:autoSpaceDN w:val="0"/>
        <w:adjustRightInd w:val="0"/>
        <w:rPr>
          <w:rFonts w:cstheme="minorHAnsi"/>
          <w:b/>
          <w:bCs/>
          <w:color w:val="000000"/>
          <w:sz w:val="23"/>
          <w:szCs w:val="23"/>
        </w:rPr>
      </w:pPr>
      <w:r w:rsidRPr="005975F1">
        <w:rPr>
          <w:rFonts w:cstheme="minorHAnsi"/>
          <w:b/>
          <w:bCs/>
          <w:color w:val="000000"/>
          <w:sz w:val="23"/>
          <w:szCs w:val="23"/>
        </w:rPr>
        <w:t>Disclosures:</w:t>
      </w:r>
    </w:p>
    <w:p w14:paraId="5F4756BC" w14:textId="4ED761E2" w:rsidR="005975F1" w:rsidRDefault="005975F1" w:rsidP="001E09B8">
      <w:pPr>
        <w:autoSpaceDE w:val="0"/>
        <w:autoSpaceDN w:val="0"/>
        <w:adjustRightInd w:val="0"/>
        <w:rPr>
          <w:rFonts w:cstheme="minorHAnsi"/>
          <w:color w:val="000000"/>
          <w:sz w:val="23"/>
          <w:szCs w:val="23"/>
        </w:rPr>
      </w:pPr>
    </w:p>
    <w:p w14:paraId="37D2F10C" w14:textId="327619F3" w:rsidR="005975F1" w:rsidRDefault="005975F1" w:rsidP="001E09B8">
      <w:pPr>
        <w:autoSpaceDE w:val="0"/>
        <w:autoSpaceDN w:val="0"/>
        <w:adjustRightInd w:val="0"/>
        <w:rPr>
          <w:rFonts w:cstheme="minorHAnsi"/>
          <w:color w:val="000000"/>
          <w:sz w:val="23"/>
          <w:szCs w:val="23"/>
        </w:rPr>
      </w:pPr>
    </w:p>
    <w:p w14:paraId="77CE48C7" w14:textId="3FCB01C3" w:rsidR="005975F1" w:rsidRDefault="005975F1" w:rsidP="001E09B8">
      <w:pPr>
        <w:autoSpaceDE w:val="0"/>
        <w:autoSpaceDN w:val="0"/>
        <w:adjustRightInd w:val="0"/>
        <w:rPr>
          <w:rFonts w:cstheme="minorHAnsi"/>
          <w:color w:val="000000"/>
          <w:sz w:val="23"/>
          <w:szCs w:val="23"/>
        </w:rPr>
      </w:pPr>
    </w:p>
    <w:p w14:paraId="6A0F7F43" w14:textId="6F921CFB" w:rsidR="005975F1" w:rsidRDefault="005975F1" w:rsidP="001E09B8">
      <w:pPr>
        <w:autoSpaceDE w:val="0"/>
        <w:autoSpaceDN w:val="0"/>
        <w:adjustRightInd w:val="0"/>
        <w:rPr>
          <w:rFonts w:cstheme="minorHAnsi"/>
          <w:color w:val="000000"/>
          <w:sz w:val="23"/>
          <w:szCs w:val="23"/>
        </w:rPr>
      </w:pPr>
    </w:p>
    <w:p w14:paraId="536EBBC0" w14:textId="5A25843F" w:rsidR="005975F1" w:rsidRDefault="005975F1" w:rsidP="001E09B8">
      <w:pPr>
        <w:autoSpaceDE w:val="0"/>
        <w:autoSpaceDN w:val="0"/>
        <w:adjustRightInd w:val="0"/>
        <w:rPr>
          <w:rFonts w:cstheme="minorHAnsi"/>
          <w:color w:val="000000"/>
          <w:sz w:val="23"/>
          <w:szCs w:val="23"/>
        </w:rPr>
      </w:pPr>
    </w:p>
    <w:p w14:paraId="6C4F5A5F" w14:textId="3B4AE786" w:rsidR="005975F1" w:rsidRDefault="005975F1" w:rsidP="001E09B8">
      <w:pPr>
        <w:autoSpaceDE w:val="0"/>
        <w:autoSpaceDN w:val="0"/>
        <w:adjustRightInd w:val="0"/>
        <w:rPr>
          <w:rFonts w:cstheme="minorHAnsi"/>
          <w:color w:val="000000"/>
          <w:sz w:val="23"/>
          <w:szCs w:val="23"/>
        </w:rPr>
      </w:pPr>
    </w:p>
    <w:p w14:paraId="43A0C0A5" w14:textId="090B3FEE" w:rsidR="005975F1" w:rsidRDefault="005975F1" w:rsidP="001E09B8">
      <w:pPr>
        <w:autoSpaceDE w:val="0"/>
        <w:autoSpaceDN w:val="0"/>
        <w:adjustRightInd w:val="0"/>
        <w:rPr>
          <w:rFonts w:cstheme="minorHAnsi"/>
          <w:color w:val="000000"/>
          <w:sz w:val="23"/>
          <w:szCs w:val="23"/>
        </w:rPr>
      </w:pPr>
    </w:p>
    <w:p w14:paraId="0FA0339A" w14:textId="0FE85FE2" w:rsidR="005975F1" w:rsidRDefault="005975F1" w:rsidP="001E09B8">
      <w:pPr>
        <w:autoSpaceDE w:val="0"/>
        <w:autoSpaceDN w:val="0"/>
        <w:adjustRightInd w:val="0"/>
        <w:rPr>
          <w:rFonts w:cstheme="minorHAnsi"/>
          <w:color w:val="000000"/>
          <w:sz w:val="23"/>
          <w:szCs w:val="23"/>
        </w:rPr>
      </w:pPr>
    </w:p>
    <w:p w14:paraId="60B318C6" w14:textId="2B62DDE3" w:rsidR="005975F1" w:rsidRDefault="005975F1" w:rsidP="001E09B8">
      <w:pPr>
        <w:autoSpaceDE w:val="0"/>
        <w:autoSpaceDN w:val="0"/>
        <w:adjustRightInd w:val="0"/>
        <w:rPr>
          <w:rFonts w:cstheme="minorHAnsi"/>
          <w:color w:val="000000"/>
          <w:sz w:val="23"/>
          <w:szCs w:val="23"/>
        </w:rPr>
      </w:pPr>
    </w:p>
    <w:p w14:paraId="0AE71A7F" w14:textId="5EF0231F" w:rsidR="005975F1" w:rsidRDefault="005975F1" w:rsidP="001E09B8">
      <w:pPr>
        <w:autoSpaceDE w:val="0"/>
        <w:autoSpaceDN w:val="0"/>
        <w:adjustRightInd w:val="0"/>
        <w:rPr>
          <w:rFonts w:cstheme="minorHAnsi"/>
          <w:color w:val="000000"/>
          <w:sz w:val="23"/>
          <w:szCs w:val="23"/>
        </w:rPr>
      </w:pPr>
    </w:p>
    <w:p w14:paraId="3D8043D0" w14:textId="7CB65D72" w:rsidR="005975F1" w:rsidRDefault="005975F1" w:rsidP="001E09B8">
      <w:pPr>
        <w:autoSpaceDE w:val="0"/>
        <w:autoSpaceDN w:val="0"/>
        <w:adjustRightInd w:val="0"/>
        <w:rPr>
          <w:rFonts w:cstheme="minorHAnsi"/>
          <w:color w:val="000000"/>
          <w:sz w:val="23"/>
          <w:szCs w:val="23"/>
        </w:rPr>
      </w:pPr>
    </w:p>
    <w:p w14:paraId="7B2BEB47" w14:textId="5EEDEF36" w:rsidR="005975F1" w:rsidRDefault="005975F1" w:rsidP="001E09B8">
      <w:pPr>
        <w:autoSpaceDE w:val="0"/>
        <w:autoSpaceDN w:val="0"/>
        <w:adjustRightInd w:val="0"/>
        <w:rPr>
          <w:rFonts w:cstheme="minorHAnsi"/>
          <w:color w:val="000000"/>
          <w:sz w:val="23"/>
          <w:szCs w:val="23"/>
        </w:rPr>
      </w:pPr>
    </w:p>
    <w:p w14:paraId="68FEE486" w14:textId="1591D6D4" w:rsidR="005975F1" w:rsidRDefault="005975F1" w:rsidP="001E09B8">
      <w:pPr>
        <w:autoSpaceDE w:val="0"/>
        <w:autoSpaceDN w:val="0"/>
        <w:adjustRightInd w:val="0"/>
        <w:rPr>
          <w:rFonts w:cstheme="minorHAnsi"/>
          <w:color w:val="000000"/>
          <w:sz w:val="23"/>
          <w:szCs w:val="23"/>
        </w:rPr>
      </w:pPr>
    </w:p>
    <w:p w14:paraId="16EB36F2" w14:textId="77777777" w:rsidR="005975F1" w:rsidRDefault="005975F1" w:rsidP="001E09B8">
      <w:pPr>
        <w:autoSpaceDE w:val="0"/>
        <w:autoSpaceDN w:val="0"/>
        <w:adjustRightInd w:val="0"/>
        <w:rPr>
          <w:rFonts w:cstheme="minorHAnsi"/>
          <w:color w:val="000000"/>
          <w:sz w:val="23"/>
          <w:szCs w:val="23"/>
        </w:rPr>
      </w:pPr>
    </w:p>
    <w:p w14:paraId="567422F4" w14:textId="406DCDD9" w:rsidR="005975F1" w:rsidRDefault="005975F1" w:rsidP="001E09B8">
      <w:pPr>
        <w:autoSpaceDE w:val="0"/>
        <w:autoSpaceDN w:val="0"/>
        <w:adjustRightInd w:val="0"/>
        <w:rPr>
          <w:rFonts w:cstheme="minorHAnsi"/>
          <w:color w:val="000000"/>
          <w:sz w:val="23"/>
          <w:szCs w:val="23"/>
        </w:rPr>
      </w:pPr>
    </w:p>
    <w:p w14:paraId="198C077E" w14:textId="77777777" w:rsidR="005975F1" w:rsidRDefault="005975F1" w:rsidP="001E09B8">
      <w:pPr>
        <w:autoSpaceDE w:val="0"/>
        <w:autoSpaceDN w:val="0"/>
        <w:adjustRightInd w:val="0"/>
        <w:rPr>
          <w:rFonts w:cstheme="minorHAnsi"/>
          <w:color w:val="000000"/>
          <w:sz w:val="23"/>
          <w:szCs w:val="23"/>
        </w:rPr>
      </w:pPr>
    </w:p>
    <w:p w14:paraId="5233E19B" w14:textId="77777777" w:rsidR="005975F1" w:rsidRDefault="005975F1" w:rsidP="001E09B8">
      <w:pPr>
        <w:autoSpaceDE w:val="0"/>
        <w:autoSpaceDN w:val="0"/>
        <w:adjustRightInd w:val="0"/>
        <w:rPr>
          <w:rFonts w:cstheme="minorHAnsi"/>
          <w:color w:val="000000"/>
          <w:sz w:val="23"/>
          <w:szCs w:val="23"/>
        </w:rPr>
      </w:pPr>
    </w:p>
    <w:p w14:paraId="4F7EC430" w14:textId="4C602CEB" w:rsidR="005975F1" w:rsidRPr="001E09B8" w:rsidRDefault="005975F1" w:rsidP="001E09B8">
      <w:pPr>
        <w:autoSpaceDE w:val="0"/>
        <w:autoSpaceDN w:val="0"/>
        <w:adjustRightInd w:val="0"/>
        <w:rPr>
          <w:rFonts w:cstheme="minorHAnsi"/>
          <w:color w:val="000000"/>
          <w:sz w:val="23"/>
          <w:szCs w:val="23"/>
        </w:rPr>
      </w:pPr>
      <w:r>
        <w:rPr>
          <w:rFonts w:cstheme="minorHAnsi"/>
          <w:color w:val="000000"/>
          <w:sz w:val="23"/>
          <w:szCs w:val="23"/>
        </w:rPr>
        <w:t xml:space="preserve">I agree to promptly inform the Chair of the </w:t>
      </w:r>
      <w:r w:rsidR="00210687">
        <w:rPr>
          <w:rFonts w:cstheme="minorHAnsi"/>
          <w:color w:val="000000"/>
          <w:sz w:val="23"/>
          <w:szCs w:val="23"/>
        </w:rPr>
        <w:t>Investment Advisory Committee</w:t>
      </w:r>
      <w:r>
        <w:rPr>
          <w:rFonts w:cstheme="minorHAnsi"/>
          <w:color w:val="000000"/>
          <w:sz w:val="23"/>
          <w:szCs w:val="23"/>
        </w:rPr>
        <w:t xml:space="preserve"> upon the occurrence of any event that could potentially create for me a conflict of interest.</w:t>
      </w:r>
    </w:p>
    <w:p w14:paraId="51A63EB0" w14:textId="77777777" w:rsidR="00D85462" w:rsidRDefault="00D85462" w:rsidP="001E09B8">
      <w:pPr>
        <w:autoSpaceDE w:val="0"/>
        <w:autoSpaceDN w:val="0"/>
        <w:adjustRightInd w:val="0"/>
        <w:rPr>
          <w:rFonts w:cstheme="minorHAnsi"/>
          <w:color w:val="000000"/>
          <w:sz w:val="23"/>
          <w:szCs w:val="23"/>
        </w:rPr>
      </w:pPr>
    </w:p>
    <w:p w14:paraId="65B3F560" w14:textId="7FC57ACB" w:rsidR="00D85462" w:rsidRDefault="00D85462" w:rsidP="001E09B8">
      <w:pPr>
        <w:autoSpaceDE w:val="0"/>
        <w:autoSpaceDN w:val="0"/>
        <w:adjustRightInd w:val="0"/>
        <w:rPr>
          <w:rFonts w:cstheme="minorHAnsi"/>
          <w:color w:val="000000"/>
          <w:sz w:val="23"/>
          <w:szCs w:val="23"/>
        </w:rPr>
      </w:pPr>
    </w:p>
    <w:p w14:paraId="5604B0D6" w14:textId="77777777" w:rsidR="005975F1" w:rsidRDefault="005975F1" w:rsidP="001E09B8">
      <w:pPr>
        <w:autoSpaceDE w:val="0"/>
        <w:autoSpaceDN w:val="0"/>
        <w:adjustRightInd w:val="0"/>
        <w:rPr>
          <w:rFonts w:cstheme="minorHAnsi"/>
          <w:color w:val="000000"/>
          <w:sz w:val="23"/>
          <w:szCs w:val="23"/>
        </w:rPr>
      </w:pPr>
    </w:p>
    <w:p w14:paraId="6DB26607" w14:textId="71BFC9F7" w:rsidR="001E09B8" w:rsidRPr="001E09B8" w:rsidRDefault="001E09B8" w:rsidP="001E09B8">
      <w:pPr>
        <w:autoSpaceDE w:val="0"/>
        <w:autoSpaceDN w:val="0"/>
        <w:adjustRightInd w:val="0"/>
        <w:rPr>
          <w:rFonts w:cstheme="minorHAnsi"/>
          <w:color w:val="000000"/>
          <w:sz w:val="23"/>
          <w:szCs w:val="23"/>
        </w:rPr>
      </w:pPr>
      <w:r w:rsidRPr="001E09B8">
        <w:rPr>
          <w:rFonts w:cstheme="minorHAnsi"/>
          <w:color w:val="000000"/>
          <w:sz w:val="23"/>
          <w:szCs w:val="23"/>
        </w:rPr>
        <w:t>Signature: ______________</w:t>
      </w:r>
      <w:r w:rsidR="00D85462">
        <w:rPr>
          <w:rFonts w:cstheme="minorHAnsi"/>
          <w:color w:val="000000"/>
          <w:sz w:val="23"/>
          <w:szCs w:val="23"/>
        </w:rPr>
        <w:t>_______________________________</w:t>
      </w:r>
      <w:r w:rsidRPr="001E09B8">
        <w:rPr>
          <w:rFonts w:cstheme="minorHAnsi"/>
          <w:color w:val="000000"/>
          <w:sz w:val="23"/>
          <w:szCs w:val="23"/>
        </w:rPr>
        <w:t xml:space="preserve"> </w:t>
      </w:r>
    </w:p>
    <w:p w14:paraId="7C333C13" w14:textId="77777777" w:rsidR="000C45F4" w:rsidRPr="000C45F4" w:rsidRDefault="000C45F4" w:rsidP="001E09B8">
      <w:pPr>
        <w:autoSpaceDE w:val="0"/>
        <w:autoSpaceDN w:val="0"/>
        <w:adjustRightInd w:val="0"/>
        <w:rPr>
          <w:rFonts w:cstheme="minorHAnsi"/>
          <w:color w:val="000000"/>
          <w:sz w:val="23"/>
          <w:szCs w:val="23"/>
        </w:rPr>
      </w:pPr>
    </w:p>
    <w:p w14:paraId="74F4B4CC" w14:textId="77777777" w:rsidR="005975F1" w:rsidRDefault="005975F1" w:rsidP="001E09B8">
      <w:pPr>
        <w:autoSpaceDE w:val="0"/>
        <w:autoSpaceDN w:val="0"/>
        <w:adjustRightInd w:val="0"/>
        <w:rPr>
          <w:rFonts w:cstheme="minorHAnsi"/>
          <w:color w:val="000000"/>
          <w:sz w:val="23"/>
          <w:szCs w:val="23"/>
        </w:rPr>
      </w:pPr>
    </w:p>
    <w:p w14:paraId="7000FBF2" w14:textId="0D00DB96" w:rsidR="001E09B8" w:rsidRPr="001E09B8" w:rsidRDefault="001E09B8" w:rsidP="001E09B8">
      <w:pPr>
        <w:autoSpaceDE w:val="0"/>
        <w:autoSpaceDN w:val="0"/>
        <w:adjustRightInd w:val="0"/>
        <w:rPr>
          <w:rFonts w:cstheme="minorHAnsi"/>
          <w:color w:val="000000"/>
          <w:sz w:val="23"/>
          <w:szCs w:val="23"/>
        </w:rPr>
      </w:pPr>
      <w:r w:rsidRPr="001E09B8">
        <w:rPr>
          <w:rFonts w:cstheme="minorHAnsi"/>
          <w:color w:val="000000"/>
          <w:sz w:val="23"/>
          <w:szCs w:val="23"/>
        </w:rPr>
        <w:t>Print Name: ______________</w:t>
      </w:r>
      <w:r w:rsidR="00D85462">
        <w:rPr>
          <w:rFonts w:cstheme="minorHAnsi"/>
          <w:color w:val="000000"/>
          <w:sz w:val="23"/>
          <w:szCs w:val="23"/>
        </w:rPr>
        <w:t>_____________________________</w:t>
      </w:r>
      <w:r w:rsidRPr="001E09B8">
        <w:rPr>
          <w:rFonts w:cstheme="minorHAnsi"/>
          <w:color w:val="000000"/>
          <w:sz w:val="23"/>
          <w:szCs w:val="23"/>
        </w:rPr>
        <w:t xml:space="preserve"> </w:t>
      </w:r>
    </w:p>
    <w:p w14:paraId="64C5979B" w14:textId="77777777" w:rsidR="000C45F4" w:rsidRPr="000C45F4" w:rsidRDefault="000C45F4" w:rsidP="001E09B8">
      <w:pPr>
        <w:autoSpaceDE w:val="0"/>
        <w:autoSpaceDN w:val="0"/>
        <w:adjustRightInd w:val="0"/>
        <w:rPr>
          <w:rFonts w:cstheme="minorHAnsi"/>
          <w:color w:val="000000"/>
          <w:sz w:val="23"/>
          <w:szCs w:val="23"/>
        </w:rPr>
      </w:pPr>
    </w:p>
    <w:p w14:paraId="3A8CED96" w14:textId="77777777" w:rsidR="005975F1" w:rsidRDefault="005975F1" w:rsidP="001E09B8">
      <w:pPr>
        <w:autoSpaceDE w:val="0"/>
        <w:autoSpaceDN w:val="0"/>
        <w:adjustRightInd w:val="0"/>
        <w:rPr>
          <w:rFonts w:cstheme="minorHAnsi"/>
          <w:color w:val="000000"/>
          <w:sz w:val="23"/>
          <w:szCs w:val="23"/>
        </w:rPr>
      </w:pPr>
    </w:p>
    <w:p w14:paraId="70CE7835" w14:textId="6AC8F5DC" w:rsidR="001E09B8" w:rsidRPr="001E09B8" w:rsidRDefault="001E09B8" w:rsidP="001E09B8">
      <w:pPr>
        <w:autoSpaceDE w:val="0"/>
        <w:autoSpaceDN w:val="0"/>
        <w:adjustRightInd w:val="0"/>
        <w:rPr>
          <w:rFonts w:cstheme="minorHAnsi"/>
          <w:color w:val="000000"/>
          <w:sz w:val="23"/>
          <w:szCs w:val="23"/>
        </w:rPr>
      </w:pPr>
      <w:r w:rsidRPr="001E09B8">
        <w:rPr>
          <w:rFonts w:cstheme="minorHAnsi"/>
          <w:color w:val="000000"/>
          <w:sz w:val="23"/>
          <w:szCs w:val="23"/>
        </w:rPr>
        <w:t>Date: ______________</w:t>
      </w:r>
      <w:r w:rsidR="00D85462">
        <w:rPr>
          <w:rFonts w:cstheme="minorHAnsi"/>
          <w:color w:val="000000"/>
          <w:sz w:val="23"/>
          <w:szCs w:val="23"/>
        </w:rPr>
        <w:t>__________</w:t>
      </w:r>
      <w:r w:rsidRPr="001E09B8">
        <w:rPr>
          <w:rFonts w:cstheme="minorHAnsi"/>
          <w:color w:val="000000"/>
          <w:sz w:val="23"/>
          <w:szCs w:val="23"/>
        </w:rPr>
        <w:t xml:space="preserve"> </w:t>
      </w:r>
    </w:p>
    <w:p w14:paraId="03A8A61F" w14:textId="77777777" w:rsidR="000C45F4" w:rsidRPr="000C45F4" w:rsidRDefault="000C45F4" w:rsidP="001E09B8">
      <w:pPr>
        <w:rPr>
          <w:rFonts w:cstheme="minorHAnsi"/>
          <w:b/>
          <w:bCs/>
          <w:color w:val="000000"/>
          <w:sz w:val="23"/>
          <w:szCs w:val="23"/>
        </w:rPr>
      </w:pPr>
    </w:p>
    <w:sectPr w:rsidR="000C45F4" w:rsidRPr="000C45F4" w:rsidSect="00AA0C4B">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B66B8" w14:textId="77777777" w:rsidR="00507A34" w:rsidRDefault="00507A34" w:rsidP="00AA0C4B">
      <w:r>
        <w:separator/>
      </w:r>
    </w:p>
  </w:endnote>
  <w:endnote w:type="continuationSeparator" w:id="0">
    <w:p w14:paraId="3ACCC83E" w14:textId="77777777" w:rsidR="00507A34" w:rsidRDefault="00507A34" w:rsidP="00AA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190168"/>
      <w:docPartObj>
        <w:docPartGallery w:val="Page Numbers (Bottom of Page)"/>
        <w:docPartUnique/>
      </w:docPartObj>
    </w:sdtPr>
    <w:sdtEndPr/>
    <w:sdtContent>
      <w:sdt>
        <w:sdtPr>
          <w:id w:val="-1769616900"/>
          <w:docPartObj>
            <w:docPartGallery w:val="Page Numbers (Top of Page)"/>
            <w:docPartUnique/>
          </w:docPartObj>
        </w:sdtPr>
        <w:sdtEndPr/>
        <w:sdtContent>
          <w:p w14:paraId="6CA2440E" w14:textId="7DF44382" w:rsidR="00AA0C4B" w:rsidRDefault="00AA0C4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DD7266" w14:textId="77777777" w:rsidR="00AA0C4B" w:rsidRDefault="00AA0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BD7C3" w14:textId="77777777" w:rsidR="00507A34" w:rsidRDefault="00507A34" w:rsidP="00AA0C4B">
      <w:r>
        <w:separator/>
      </w:r>
    </w:p>
  </w:footnote>
  <w:footnote w:type="continuationSeparator" w:id="0">
    <w:p w14:paraId="7586F8A3" w14:textId="77777777" w:rsidR="00507A34" w:rsidRDefault="00507A34" w:rsidP="00AA0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249E8"/>
    <w:multiLevelType w:val="hybridMultilevel"/>
    <w:tmpl w:val="3C8C40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74C8D"/>
    <w:multiLevelType w:val="hybridMultilevel"/>
    <w:tmpl w:val="3F94962A"/>
    <w:lvl w:ilvl="0" w:tplc="7AF68B2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DCCC2E6E">
      <w:start w:val="1"/>
      <w:numFmt w:val="decimal"/>
      <w:lvlText w:val="%3."/>
      <w:lvlJc w:val="left"/>
      <w:pPr>
        <w:ind w:left="2340" w:hanging="180"/>
      </w:pPr>
      <w:rPr>
        <w:b w:val="0"/>
        <w:bCs w:val="0"/>
      </w:r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083575"/>
    <w:multiLevelType w:val="hybridMultilevel"/>
    <w:tmpl w:val="1A548D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64675A2"/>
    <w:multiLevelType w:val="hybridMultilevel"/>
    <w:tmpl w:val="47CCF548"/>
    <w:lvl w:ilvl="0" w:tplc="495E1A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6553E1F"/>
    <w:multiLevelType w:val="hybridMultilevel"/>
    <w:tmpl w:val="DACE9A6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57BE6CA7"/>
    <w:multiLevelType w:val="hybridMultilevel"/>
    <w:tmpl w:val="452E55F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ysjS1NDU0NjYytTRR0lEKTi0uzszPAymwqAUAJEXiRCwAAAA="/>
  </w:docVars>
  <w:rsids>
    <w:rsidRoot w:val="00AA0C4B"/>
    <w:rsid w:val="00000D75"/>
    <w:rsid w:val="000059FF"/>
    <w:rsid w:val="00014A36"/>
    <w:rsid w:val="00031E21"/>
    <w:rsid w:val="000475E5"/>
    <w:rsid w:val="00081641"/>
    <w:rsid w:val="00087EBE"/>
    <w:rsid w:val="000A5D7E"/>
    <w:rsid w:val="000C45F4"/>
    <w:rsid w:val="000D3001"/>
    <w:rsid w:val="000E7A89"/>
    <w:rsid w:val="000F177C"/>
    <w:rsid w:val="000F3226"/>
    <w:rsid w:val="00102008"/>
    <w:rsid w:val="0010650C"/>
    <w:rsid w:val="00112249"/>
    <w:rsid w:val="00116CBB"/>
    <w:rsid w:val="00143464"/>
    <w:rsid w:val="00151511"/>
    <w:rsid w:val="00157C3A"/>
    <w:rsid w:val="00163816"/>
    <w:rsid w:val="00177F86"/>
    <w:rsid w:val="001824E8"/>
    <w:rsid w:val="00191949"/>
    <w:rsid w:val="0019320A"/>
    <w:rsid w:val="0019454C"/>
    <w:rsid w:val="00194F45"/>
    <w:rsid w:val="00196BE9"/>
    <w:rsid w:val="001A0FB6"/>
    <w:rsid w:val="001A2CB6"/>
    <w:rsid w:val="001A75B3"/>
    <w:rsid w:val="001C05C0"/>
    <w:rsid w:val="001C533E"/>
    <w:rsid w:val="001D7B1F"/>
    <w:rsid w:val="001E09B8"/>
    <w:rsid w:val="001E14CF"/>
    <w:rsid w:val="001F5CF2"/>
    <w:rsid w:val="00210687"/>
    <w:rsid w:val="00223364"/>
    <w:rsid w:val="00232162"/>
    <w:rsid w:val="00233D95"/>
    <w:rsid w:val="00245B05"/>
    <w:rsid w:val="002552D3"/>
    <w:rsid w:val="00265987"/>
    <w:rsid w:val="00275F50"/>
    <w:rsid w:val="00277C6E"/>
    <w:rsid w:val="00284BAA"/>
    <w:rsid w:val="0028537D"/>
    <w:rsid w:val="002944BA"/>
    <w:rsid w:val="002951FC"/>
    <w:rsid w:val="00297019"/>
    <w:rsid w:val="002B2953"/>
    <w:rsid w:val="002B7667"/>
    <w:rsid w:val="002C1FEA"/>
    <w:rsid w:val="002C71B8"/>
    <w:rsid w:val="002E590D"/>
    <w:rsid w:val="0032000B"/>
    <w:rsid w:val="00322E69"/>
    <w:rsid w:val="00352D6F"/>
    <w:rsid w:val="00364C72"/>
    <w:rsid w:val="00364E44"/>
    <w:rsid w:val="00380FBE"/>
    <w:rsid w:val="00387DC3"/>
    <w:rsid w:val="0039392D"/>
    <w:rsid w:val="00394862"/>
    <w:rsid w:val="00397F84"/>
    <w:rsid w:val="003B0ACE"/>
    <w:rsid w:val="003B386A"/>
    <w:rsid w:val="003B5AB8"/>
    <w:rsid w:val="003C69A5"/>
    <w:rsid w:val="003D068E"/>
    <w:rsid w:val="003D54EF"/>
    <w:rsid w:val="003D66D8"/>
    <w:rsid w:val="003F1F94"/>
    <w:rsid w:val="003F23DD"/>
    <w:rsid w:val="00416295"/>
    <w:rsid w:val="00431CD2"/>
    <w:rsid w:val="00457470"/>
    <w:rsid w:val="00460760"/>
    <w:rsid w:val="00467BEF"/>
    <w:rsid w:val="0048547D"/>
    <w:rsid w:val="00491EB1"/>
    <w:rsid w:val="00493631"/>
    <w:rsid w:val="004A10D0"/>
    <w:rsid w:val="004A278A"/>
    <w:rsid w:val="004B6A3A"/>
    <w:rsid w:val="004D21AF"/>
    <w:rsid w:val="004D3613"/>
    <w:rsid w:val="00501631"/>
    <w:rsid w:val="00507A34"/>
    <w:rsid w:val="00521958"/>
    <w:rsid w:val="00535D03"/>
    <w:rsid w:val="00542568"/>
    <w:rsid w:val="00542F84"/>
    <w:rsid w:val="00566245"/>
    <w:rsid w:val="005870A4"/>
    <w:rsid w:val="005926A2"/>
    <w:rsid w:val="005975F1"/>
    <w:rsid w:val="005A4EAA"/>
    <w:rsid w:val="005B000B"/>
    <w:rsid w:val="005B0A33"/>
    <w:rsid w:val="005B153B"/>
    <w:rsid w:val="005B2FF1"/>
    <w:rsid w:val="005B63BD"/>
    <w:rsid w:val="005D18E6"/>
    <w:rsid w:val="005E1104"/>
    <w:rsid w:val="005E23EC"/>
    <w:rsid w:val="005E4C07"/>
    <w:rsid w:val="005F6E36"/>
    <w:rsid w:val="00623776"/>
    <w:rsid w:val="00624635"/>
    <w:rsid w:val="00634CDE"/>
    <w:rsid w:val="00643FAB"/>
    <w:rsid w:val="0064640E"/>
    <w:rsid w:val="00647D85"/>
    <w:rsid w:val="006713D0"/>
    <w:rsid w:val="00671C28"/>
    <w:rsid w:val="00672B1F"/>
    <w:rsid w:val="00685248"/>
    <w:rsid w:val="00687528"/>
    <w:rsid w:val="006879CC"/>
    <w:rsid w:val="006A095E"/>
    <w:rsid w:val="006A2B24"/>
    <w:rsid w:val="006B1452"/>
    <w:rsid w:val="006B3067"/>
    <w:rsid w:val="006D5AE0"/>
    <w:rsid w:val="006E6214"/>
    <w:rsid w:val="006F47BD"/>
    <w:rsid w:val="00701246"/>
    <w:rsid w:val="00705D44"/>
    <w:rsid w:val="007121BF"/>
    <w:rsid w:val="00713943"/>
    <w:rsid w:val="00714497"/>
    <w:rsid w:val="007162BB"/>
    <w:rsid w:val="00720602"/>
    <w:rsid w:val="00726631"/>
    <w:rsid w:val="0073220D"/>
    <w:rsid w:val="00754589"/>
    <w:rsid w:val="00773CC8"/>
    <w:rsid w:val="007A241F"/>
    <w:rsid w:val="007A4630"/>
    <w:rsid w:val="007B24A6"/>
    <w:rsid w:val="007F4D4A"/>
    <w:rsid w:val="008301C2"/>
    <w:rsid w:val="008307EC"/>
    <w:rsid w:val="00830E72"/>
    <w:rsid w:val="00831767"/>
    <w:rsid w:val="008574CC"/>
    <w:rsid w:val="008604C3"/>
    <w:rsid w:val="008633E9"/>
    <w:rsid w:val="00871852"/>
    <w:rsid w:val="00871A9D"/>
    <w:rsid w:val="0088126E"/>
    <w:rsid w:val="00897FCE"/>
    <w:rsid w:val="008A251C"/>
    <w:rsid w:val="008A53CE"/>
    <w:rsid w:val="008D229D"/>
    <w:rsid w:val="008F105A"/>
    <w:rsid w:val="008F544A"/>
    <w:rsid w:val="00901146"/>
    <w:rsid w:val="00905ED1"/>
    <w:rsid w:val="00912DC9"/>
    <w:rsid w:val="00922136"/>
    <w:rsid w:val="009251E6"/>
    <w:rsid w:val="00940981"/>
    <w:rsid w:val="0096435D"/>
    <w:rsid w:val="009745C3"/>
    <w:rsid w:val="00975C0F"/>
    <w:rsid w:val="0099408A"/>
    <w:rsid w:val="009A03C6"/>
    <w:rsid w:val="009D283A"/>
    <w:rsid w:val="009E0941"/>
    <w:rsid w:val="009E7CAD"/>
    <w:rsid w:val="009F6508"/>
    <w:rsid w:val="00A0094E"/>
    <w:rsid w:val="00A05EA9"/>
    <w:rsid w:val="00A3117C"/>
    <w:rsid w:val="00A350C6"/>
    <w:rsid w:val="00A45DC9"/>
    <w:rsid w:val="00A552E2"/>
    <w:rsid w:val="00A57864"/>
    <w:rsid w:val="00A60301"/>
    <w:rsid w:val="00A62230"/>
    <w:rsid w:val="00A64F41"/>
    <w:rsid w:val="00A77C4B"/>
    <w:rsid w:val="00A8674A"/>
    <w:rsid w:val="00AA0C4B"/>
    <w:rsid w:val="00AA4775"/>
    <w:rsid w:val="00AA47EC"/>
    <w:rsid w:val="00AC12EA"/>
    <w:rsid w:val="00AE0B55"/>
    <w:rsid w:val="00AE7517"/>
    <w:rsid w:val="00AF0776"/>
    <w:rsid w:val="00B051DB"/>
    <w:rsid w:val="00B11FA8"/>
    <w:rsid w:val="00B1494F"/>
    <w:rsid w:val="00B14C81"/>
    <w:rsid w:val="00B21CF8"/>
    <w:rsid w:val="00B23612"/>
    <w:rsid w:val="00B2662C"/>
    <w:rsid w:val="00B2706D"/>
    <w:rsid w:val="00B33F23"/>
    <w:rsid w:val="00B53C60"/>
    <w:rsid w:val="00B543BE"/>
    <w:rsid w:val="00B61378"/>
    <w:rsid w:val="00B65619"/>
    <w:rsid w:val="00B7488E"/>
    <w:rsid w:val="00B77017"/>
    <w:rsid w:val="00B91553"/>
    <w:rsid w:val="00B96B05"/>
    <w:rsid w:val="00BA45E1"/>
    <w:rsid w:val="00BD2200"/>
    <w:rsid w:val="00C0485E"/>
    <w:rsid w:val="00C11543"/>
    <w:rsid w:val="00C13084"/>
    <w:rsid w:val="00C1515F"/>
    <w:rsid w:val="00C26304"/>
    <w:rsid w:val="00C26428"/>
    <w:rsid w:val="00C300E2"/>
    <w:rsid w:val="00C35712"/>
    <w:rsid w:val="00C4355D"/>
    <w:rsid w:val="00C44B68"/>
    <w:rsid w:val="00C60484"/>
    <w:rsid w:val="00C712EB"/>
    <w:rsid w:val="00C80608"/>
    <w:rsid w:val="00C861DF"/>
    <w:rsid w:val="00CB398B"/>
    <w:rsid w:val="00CB6A48"/>
    <w:rsid w:val="00CC0068"/>
    <w:rsid w:val="00CD2662"/>
    <w:rsid w:val="00CE0267"/>
    <w:rsid w:val="00D10761"/>
    <w:rsid w:val="00D1221A"/>
    <w:rsid w:val="00D25DC2"/>
    <w:rsid w:val="00D32BD3"/>
    <w:rsid w:val="00D35AD7"/>
    <w:rsid w:val="00D43074"/>
    <w:rsid w:val="00D45D98"/>
    <w:rsid w:val="00D81FCF"/>
    <w:rsid w:val="00D85462"/>
    <w:rsid w:val="00D93537"/>
    <w:rsid w:val="00D966D1"/>
    <w:rsid w:val="00D97815"/>
    <w:rsid w:val="00DA03CB"/>
    <w:rsid w:val="00DA40C0"/>
    <w:rsid w:val="00DC13AB"/>
    <w:rsid w:val="00DC3480"/>
    <w:rsid w:val="00DC437E"/>
    <w:rsid w:val="00DE0CE8"/>
    <w:rsid w:val="00DE269C"/>
    <w:rsid w:val="00DE3AA6"/>
    <w:rsid w:val="00DE5193"/>
    <w:rsid w:val="00DE7FC1"/>
    <w:rsid w:val="00DF14EF"/>
    <w:rsid w:val="00E0455C"/>
    <w:rsid w:val="00E40BD2"/>
    <w:rsid w:val="00E73FD9"/>
    <w:rsid w:val="00E94D7A"/>
    <w:rsid w:val="00EA1B16"/>
    <w:rsid w:val="00EA250A"/>
    <w:rsid w:val="00EC69A6"/>
    <w:rsid w:val="00ED2294"/>
    <w:rsid w:val="00EE4229"/>
    <w:rsid w:val="00F15695"/>
    <w:rsid w:val="00F17876"/>
    <w:rsid w:val="00F2074E"/>
    <w:rsid w:val="00F22B48"/>
    <w:rsid w:val="00F5122C"/>
    <w:rsid w:val="00F91F80"/>
    <w:rsid w:val="00FA7B09"/>
    <w:rsid w:val="00FB7D5A"/>
    <w:rsid w:val="00FE517C"/>
    <w:rsid w:val="00FE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8426"/>
  <w15:chartTrackingRefBased/>
  <w15:docId w15:val="{7201D3A5-184C-4B61-9957-37C65B91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0C4B"/>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AA0C4B"/>
    <w:pPr>
      <w:tabs>
        <w:tab w:val="center" w:pos="4680"/>
        <w:tab w:val="right" w:pos="9360"/>
      </w:tabs>
    </w:pPr>
  </w:style>
  <w:style w:type="character" w:customStyle="1" w:styleId="HeaderChar">
    <w:name w:val="Header Char"/>
    <w:basedOn w:val="DefaultParagraphFont"/>
    <w:link w:val="Header"/>
    <w:uiPriority w:val="99"/>
    <w:rsid w:val="00AA0C4B"/>
  </w:style>
  <w:style w:type="paragraph" w:styleId="Footer">
    <w:name w:val="footer"/>
    <w:basedOn w:val="Normal"/>
    <w:link w:val="FooterChar"/>
    <w:uiPriority w:val="99"/>
    <w:unhideWhenUsed/>
    <w:rsid w:val="00AA0C4B"/>
    <w:pPr>
      <w:tabs>
        <w:tab w:val="center" w:pos="4680"/>
        <w:tab w:val="right" w:pos="9360"/>
      </w:tabs>
    </w:pPr>
  </w:style>
  <w:style w:type="character" w:customStyle="1" w:styleId="FooterChar">
    <w:name w:val="Footer Char"/>
    <w:basedOn w:val="DefaultParagraphFont"/>
    <w:link w:val="Footer"/>
    <w:uiPriority w:val="99"/>
    <w:rsid w:val="00AA0C4B"/>
  </w:style>
  <w:style w:type="paragraph" w:styleId="ListParagraph">
    <w:name w:val="List Paragraph"/>
    <w:basedOn w:val="Normal"/>
    <w:uiPriority w:val="34"/>
    <w:qFormat/>
    <w:rsid w:val="00AA0C4B"/>
    <w:pPr>
      <w:ind w:left="720"/>
      <w:contextualSpacing/>
    </w:pPr>
  </w:style>
  <w:style w:type="table" w:styleId="TableGrid">
    <w:name w:val="Table Grid"/>
    <w:basedOn w:val="TableNormal"/>
    <w:uiPriority w:val="39"/>
    <w:rsid w:val="001D7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0068"/>
    <w:rPr>
      <w:sz w:val="16"/>
      <w:szCs w:val="16"/>
    </w:rPr>
  </w:style>
  <w:style w:type="paragraph" w:styleId="CommentText">
    <w:name w:val="annotation text"/>
    <w:basedOn w:val="Normal"/>
    <w:link w:val="CommentTextChar"/>
    <w:uiPriority w:val="99"/>
    <w:semiHidden/>
    <w:unhideWhenUsed/>
    <w:rsid w:val="00CC0068"/>
    <w:rPr>
      <w:sz w:val="20"/>
      <w:szCs w:val="20"/>
    </w:rPr>
  </w:style>
  <w:style w:type="character" w:customStyle="1" w:styleId="CommentTextChar">
    <w:name w:val="Comment Text Char"/>
    <w:basedOn w:val="DefaultParagraphFont"/>
    <w:link w:val="CommentText"/>
    <w:uiPriority w:val="99"/>
    <w:semiHidden/>
    <w:rsid w:val="00CC0068"/>
    <w:rPr>
      <w:sz w:val="20"/>
      <w:szCs w:val="20"/>
    </w:rPr>
  </w:style>
  <w:style w:type="paragraph" w:styleId="CommentSubject">
    <w:name w:val="annotation subject"/>
    <w:basedOn w:val="CommentText"/>
    <w:next w:val="CommentText"/>
    <w:link w:val="CommentSubjectChar"/>
    <w:uiPriority w:val="99"/>
    <w:semiHidden/>
    <w:unhideWhenUsed/>
    <w:rsid w:val="00CC0068"/>
    <w:rPr>
      <w:b/>
      <w:bCs/>
    </w:rPr>
  </w:style>
  <w:style w:type="character" w:customStyle="1" w:styleId="CommentSubjectChar">
    <w:name w:val="Comment Subject Char"/>
    <w:basedOn w:val="CommentTextChar"/>
    <w:link w:val="CommentSubject"/>
    <w:uiPriority w:val="99"/>
    <w:semiHidden/>
    <w:rsid w:val="00CC00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4E9B9CD02144894D3EEA3A3AE257B" ma:contentTypeVersion="15" ma:contentTypeDescription="Create a new document." ma:contentTypeScope="" ma:versionID="7ab9db83547a0dbfe14b3d71119d1551">
  <xsd:schema xmlns:xsd="http://www.w3.org/2001/XMLSchema" xmlns:xs="http://www.w3.org/2001/XMLSchema" xmlns:p="http://schemas.microsoft.com/office/2006/metadata/properties" xmlns:ns2="c3b63460-c1f6-4a5f-a73c-af79118bee21" xmlns:ns3="b0f8d676-f754-40bc-b18e-5c1692921efa" targetNamespace="http://schemas.microsoft.com/office/2006/metadata/properties" ma:root="true" ma:fieldsID="67104f32659ecd5b66bbd63320c37b27" ns2:_="" ns3:_="">
    <xsd:import namespace="c3b63460-c1f6-4a5f-a73c-af79118bee21"/>
    <xsd:import namespace="b0f8d676-f754-40bc-b18e-5c1692921e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63460-c1f6-4a5f-a73c-af79118be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6710b10-b370-4d4c-8519-005f7e7652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f8d676-f754-40bc-b18e-5c1692921ef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0124c97-dba2-4083-9ad3-eb5033fbc536}" ma:internalName="TaxCatchAll" ma:showField="CatchAllData" ma:web="24161027-12e8-424b-aba8-72a7d38562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0f8d676-f754-40bc-b18e-5c1692921efa" xsi:nil="true"/>
    <lcf76f155ced4ddcb4097134ff3c332f xmlns="c3b63460-c1f6-4a5f-a73c-af79118bee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A083E4-73C2-4300-A83B-5BE8FB26F03C}"/>
</file>

<file path=customXml/itemProps2.xml><?xml version="1.0" encoding="utf-8"?>
<ds:datastoreItem xmlns:ds="http://schemas.openxmlformats.org/officeDocument/2006/customXml" ds:itemID="{D7EE3497-6905-485B-9115-308E53B19B93}"/>
</file>

<file path=customXml/itemProps3.xml><?xml version="1.0" encoding="utf-8"?>
<ds:datastoreItem xmlns:ds="http://schemas.openxmlformats.org/officeDocument/2006/customXml" ds:itemID="{E048EEFD-0F91-46EE-B7A3-4A5F38D4EF75}"/>
</file>

<file path=docProps/app.xml><?xml version="1.0" encoding="utf-8"?>
<Properties xmlns="http://schemas.openxmlformats.org/officeDocument/2006/extended-properties" xmlns:vt="http://schemas.openxmlformats.org/officeDocument/2006/docPropsVTypes">
  <Template>Normal</Template>
  <TotalTime>1</TotalTime>
  <Pages>6</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Teefey</dc:creator>
  <cp:keywords/>
  <dc:description/>
  <cp:lastModifiedBy>Dan Teefey</cp:lastModifiedBy>
  <cp:revision>3</cp:revision>
  <dcterms:created xsi:type="dcterms:W3CDTF">2022-07-27T21:05:00Z</dcterms:created>
  <dcterms:modified xsi:type="dcterms:W3CDTF">2022-07-27T21:05:00Z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0x0101006694E9B9CD02144894D3EEA3A3AE257B</vt:lpwstr>
  </property>
</Properties>
</file>